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A54" w:rsidRDefault="0041191B" w:rsidP="00471A54">
      <w:pPr>
        <w:pStyle w:val="TL2Preliminares"/>
        <w:rPr>
          <w:rFonts w:ascii="Garamond" w:hAnsi="Garamond"/>
        </w:rPr>
      </w:pPr>
      <w:r>
        <w:rPr>
          <w:rFonts w:ascii="Garamond" w:hAnsi="Garamond"/>
          <w:noProof/>
          <w:lang w:val="es-CO" w:eastAsia="es-CO"/>
        </w:rPr>
        <w:drawing>
          <wp:inline distT="0" distB="0" distL="0" distR="0">
            <wp:extent cx="1198245" cy="598805"/>
            <wp:effectExtent l="19050" t="0" r="1905" b="0"/>
            <wp:docPr id="2" name="Imagen 5" descr="D:\1-datos\Soportes de edición\Biblia Diseño\Pauta, logos, fuentes\Logos\logos Colec_Serie_Color\DC_documento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1-datos\Soportes de edición\Biblia Diseño\Pauta, logos, fuentes\Logos\logos Colec_Serie_Color\DC_documentos color.jpg"/>
                    <pic:cNvPicPr>
                      <a:picLocks noChangeAspect="1" noChangeArrowheads="1"/>
                    </pic:cNvPicPr>
                  </pic:nvPicPr>
                  <pic:blipFill>
                    <a:blip r:embed="rId8"/>
                    <a:srcRect/>
                    <a:stretch>
                      <a:fillRect/>
                    </a:stretch>
                  </pic:blipFill>
                  <pic:spPr bwMode="auto">
                    <a:xfrm>
                      <a:off x="0" y="0"/>
                      <a:ext cx="1198245" cy="598805"/>
                    </a:xfrm>
                    <a:prstGeom prst="rect">
                      <a:avLst/>
                    </a:prstGeom>
                    <a:noFill/>
                    <a:ln w="9525">
                      <a:noFill/>
                      <a:miter lim="800000"/>
                      <a:headEnd/>
                      <a:tailEnd/>
                    </a:ln>
                  </pic:spPr>
                </pic:pic>
              </a:graphicData>
            </a:graphic>
          </wp:inline>
        </w:drawing>
      </w:r>
    </w:p>
    <w:p w:rsidR="001C6E75" w:rsidRDefault="001C6E75" w:rsidP="00CD404E">
      <w:pPr>
        <w:pStyle w:val="TL1Preliminares"/>
        <w:rPr>
          <w:rFonts w:ascii="Minion Pro" w:hAnsi="Minion Pro" w:cs="MinionPro-Bold"/>
          <w:b/>
          <w:bCs/>
          <w:sz w:val="44"/>
          <w:szCs w:val="50"/>
        </w:rPr>
      </w:pPr>
    </w:p>
    <w:p w:rsidR="003D5A61" w:rsidRDefault="003D5A61" w:rsidP="00CD404E">
      <w:pPr>
        <w:pStyle w:val="TL1Preliminares"/>
        <w:rPr>
          <w:rFonts w:ascii="Minion Pro" w:hAnsi="Minion Pro" w:cs="MinionPro-Bold"/>
          <w:b/>
          <w:bCs/>
          <w:sz w:val="50"/>
          <w:szCs w:val="50"/>
        </w:rPr>
      </w:pPr>
    </w:p>
    <w:p w:rsidR="00C55FA8" w:rsidRDefault="00431508" w:rsidP="00D82E0A">
      <w:pPr>
        <w:pStyle w:val="TL1Preliminares"/>
        <w:rPr>
          <w:rFonts w:ascii="Minion Pro" w:hAnsi="Minion Pro" w:cs="MinionPro-Bold"/>
          <w:b/>
          <w:bCs/>
          <w:sz w:val="50"/>
          <w:szCs w:val="50"/>
        </w:rPr>
      </w:pPr>
      <w:r>
        <w:rPr>
          <w:rFonts w:ascii="Minion Pro" w:hAnsi="Minion Pro" w:cs="MinionPro-Bold"/>
          <w:b/>
          <w:bCs/>
          <w:sz w:val="50"/>
          <w:szCs w:val="50"/>
        </w:rPr>
        <w:t>Programa técnico 2016-2017</w:t>
      </w:r>
    </w:p>
    <w:p w:rsidR="00D82E0A" w:rsidRDefault="00431508" w:rsidP="00431508">
      <w:pPr>
        <w:pStyle w:val="TL1Preliminares"/>
        <w:rPr>
          <w:rFonts w:ascii="Myriad Pro" w:hAnsi="Myriad Pro"/>
        </w:rPr>
      </w:pPr>
      <w:r>
        <w:rPr>
          <w:rFonts w:ascii="Myriad Pro" w:hAnsi="Myriad Pro"/>
        </w:rPr>
        <w:t xml:space="preserve">Un centro para el libro y la lectura en tiempos de cambio </w:t>
      </w:r>
    </w:p>
    <w:p w:rsidR="00E24C6D" w:rsidRDefault="00E24C6D" w:rsidP="00D82E0A">
      <w:pPr>
        <w:pStyle w:val="TL1Preliminares"/>
        <w:rPr>
          <w:rFonts w:ascii="Myriad Pro" w:hAnsi="Myriad Pro"/>
          <w:sz w:val="28"/>
          <w:szCs w:val="28"/>
        </w:rPr>
      </w:pPr>
    </w:p>
    <w:p w:rsidR="00D82E0A" w:rsidRPr="00D82E0A" w:rsidRDefault="00D82E0A" w:rsidP="00D82E0A">
      <w:pPr>
        <w:pStyle w:val="TL1Preliminares"/>
        <w:rPr>
          <w:rFonts w:ascii="Myriad Pro" w:hAnsi="Myriad Pro"/>
          <w:sz w:val="32"/>
          <w:szCs w:val="32"/>
        </w:rPr>
      </w:pPr>
    </w:p>
    <w:p w:rsidR="00D82E0A" w:rsidRDefault="00D82E0A" w:rsidP="00D82E0A">
      <w:pPr>
        <w:pStyle w:val="TL1Preliminares"/>
        <w:rPr>
          <w:rFonts w:ascii="Myriad Pro" w:hAnsi="Myriad Pro"/>
          <w:sz w:val="32"/>
          <w:szCs w:val="32"/>
          <w:lang w:val="es-ES"/>
        </w:rPr>
      </w:pPr>
    </w:p>
    <w:p w:rsidR="001C6E75" w:rsidRDefault="00D82E0A" w:rsidP="005A33DA">
      <w:pPr>
        <w:pStyle w:val="TL1Preliminares"/>
        <w:rPr>
          <w:rFonts w:ascii="Myriad Pro" w:hAnsi="Myriad Pro"/>
          <w:sz w:val="24"/>
          <w:szCs w:val="32"/>
        </w:rPr>
      </w:pPr>
      <w:r w:rsidRPr="0044726A">
        <w:rPr>
          <w:rFonts w:ascii="Myriad Pro" w:hAnsi="Myriad Pro"/>
          <w:sz w:val="32"/>
          <w:szCs w:val="32"/>
          <w:lang w:val="es-ES"/>
        </w:rPr>
        <w:t xml:space="preserve">Bogotá, D.C., </w:t>
      </w:r>
      <w:r w:rsidR="00431508">
        <w:rPr>
          <w:rFonts w:ascii="Myriad Pro" w:hAnsi="Myriad Pro"/>
          <w:sz w:val="32"/>
          <w:szCs w:val="32"/>
          <w:lang w:val="es-ES"/>
        </w:rPr>
        <w:t>marzo de 2016</w:t>
      </w:r>
    </w:p>
    <w:p w:rsidR="001C6E75" w:rsidRPr="00812D4E" w:rsidRDefault="001C6E75" w:rsidP="005A33DA">
      <w:pPr>
        <w:pStyle w:val="TL1Preliminares"/>
        <w:rPr>
          <w:rFonts w:ascii="Myriad Pro" w:hAnsi="Myriad Pro"/>
          <w:sz w:val="24"/>
          <w:szCs w:val="32"/>
        </w:rPr>
        <w:sectPr w:rsidR="001C6E75" w:rsidRPr="00812D4E" w:rsidSect="000F52C5">
          <w:headerReference w:type="even" r:id="rId9"/>
          <w:headerReference w:type="default" r:id="rId10"/>
          <w:footerReference w:type="even" r:id="rId11"/>
          <w:footerReference w:type="default" r:id="rId12"/>
          <w:headerReference w:type="first" r:id="rId13"/>
          <w:footerReference w:type="first" r:id="rId14"/>
          <w:pgSz w:w="11907" w:h="16839" w:code="9"/>
          <w:pgMar w:top="1871" w:right="2211" w:bottom="1531" w:left="2495" w:header="851" w:footer="0" w:gutter="0"/>
          <w:cols w:space="720"/>
          <w:vAlign w:val="both"/>
          <w:noEndnote/>
          <w:titlePg/>
          <w:docGrid w:linePitch="340"/>
        </w:sectPr>
      </w:pPr>
    </w:p>
    <w:p w:rsidR="000D3CE6" w:rsidRPr="00431508" w:rsidRDefault="003A0FF1" w:rsidP="000D3CE6">
      <w:pPr>
        <w:widowControl w:val="0"/>
        <w:suppressAutoHyphens/>
        <w:autoSpaceDE w:val="0"/>
        <w:autoSpaceDN w:val="0"/>
        <w:adjustRightInd w:val="0"/>
        <w:spacing w:after="0" w:line="200" w:lineRule="atLeast"/>
        <w:textAlignment w:val="center"/>
        <w:rPr>
          <w:rFonts w:ascii="Garamond" w:hAnsi="Garamond" w:cs="MinionPro-Regular"/>
          <w:b/>
          <w:color w:val="000000"/>
          <w:sz w:val="18"/>
          <w:szCs w:val="15"/>
          <w:lang w:val="es-ES_tradnl"/>
        </w:rPr>
      </w:pPr>
      <w:r w:rsidRPr="00431508">
        <w:rPr>
          <w:rFonts w:ascii="Garamond" w:hAnsi="Garamond" w:cs="MinionPro-Regular"/>
          <w:b/>
          <w:noProof/>
          <w:color w:val="000000"/>
          <w:sz w:val="18"/>
          <w:szCs w:val="15"/>
          <w:lang w:val="es-ES" w:eastAsia="es-ES"/>
        </w:rPr>
        <w:lastRenderedPageBreak/>
        <w:t xml:space="preserve">CENTRO REGIONAL PARA EL FOMENTO </w:t>
      </w:r>
      <w:r w:rsidR="0069746F" w:rsidRPr="00431508">
        <w:rPr>
          <w:rFonts w:ascii="Garamond" w:hAnsi="Garamond" w:cs="MinionPro-Regular"/>
          <w:b/>
          <w:noProof/>
          <w:color w:val="000000"/>
          <w:sz w:val="18"/>
          <w:szCs w:val="15"/>
          <w:lang w:val="es-ES" w:eastAsia="es-ES"/>
        </w:rPr>
        <w:t>D</w:t>
      </w:r>
      <w:r w:rsidRPr="00431508">
        <w:rPr>
          <w:rFonts w:ascii="Garamond" w:hAnsi="Garamond" w:cs="MinionPro-Regular"/>
          <w:b/>
          <w:noProof/>
          <w:color w:val="000000"/>
          <w:sz w:val="18"/>
          <w:szCs w:val="15"/>
          <w:lang w:val="es-ES" w:eastAsia="es-ES"/>
        </w:rPr>
        <w:t xml:space="preserve">EL LIBRO EN AMÉRICA LATINA Y EL CARIBE, </w:t>
      </w:r>
      <w:r w:rsidR="003501B5" w:rsidRPr="00431508">
        <w:rPr>
          <w:rFonts w:ascii="Garamond" w:hAnsi="Garamond" w:cs="MinionPro-Regular"/>
          <w:b/>
          <w:smallCaps/>
          <w:noProof/>
          <w:color w:val="000000"/>
          <w:sz w:val="18"/>
          <w:szCs w:val="15"/>
          <w:lang w:val="es-ES" w:eastAsia="es-ES"/>
        </w:rPr>
        <w:t>cerlalc</w:t>
      </w:r>
      <w:r w:rsidRPr="00431508">
        <w:rPr>
          <w:rFonts w:ascii="Garamond" w:hAnsi="Garamond" w:cs="MinionPro-Regular"/>
          <w:b/>
          <w:noProof/>
          <w:color w:val="000000"/>
          <w:sz w:val="18"/>
          <w:szCs w:val="15"/>
          <w:lang w:val="es-ES" w:eastAsia="es-ES"/>
        </w:rPr>
        <w:t>-</w:t>
      </w:r>
      <w:r w:rsidR="003501B5" w:rsidRPr="00431508">
        <w:rPr>
          <w:rFonts w:ascii="Garamond" w:hAnsi="Garamond" w:cs="MinionPro-Regular"/>
          <w:b/>
          <w:smallCaps/>
          <w:noProof/>
          <w:color w:val="000000"/>
          <w:sz w:val="18"/>
          <w:szCs w:val="15"/>
          <w:lang w:val="es-ES" w:eastAsia="es-ES"/>
        </w:rPr>
        <w:t>unesco</w:t>
      </w:r>
    </w:p>
    <w:p w:rsidR="000D3CE6" w:rsidRPr="00BE3586" w:rsidRDefault="000D3CE6" w:rsidP="000D3CE6">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p>
    <w:p w:rsidR="00431508"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CO"/>
        </w:rPr>
      </w:pPr>
      <w:r>
        <w:rPr>
          <w:rFonts w:cs="MinionPro-Regular"/>
          <w:color w:val="000000"/>
          <w:sz w:val="20"/>
          <w:szCs w:val="15"/>
          <w:lang w:val="es-CO"/>
        </w:rPr>
        <w:t>Ernesto Ottone Ramírez</w:t>
      </w:r>
    </w:p>
    <w:p w:rsidR="00431508" w:rsidRPr="0075544A"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CO"/>
        </w:rPr>
      </w:pPr>
      <w:r w:rsidRPr="0075544A">
        <w:rPr>
          <w:rFonts w:cs="MinionPro-Regular"/>
          <w:color w:val="000000"/>
          <w:sz w:val="20"/>
          <w:szCs w:val="15"/>
          <w:lang w:val="es-CO"/>
        </w:rPr>
        <w:t>Ministro Presidente del Consejo Nacional de la Cultura y las Artes</w:t>
      </w:r>
      <w:r>
        <w:rPr>
          <w:rFonts w:cs="MinionPro-Regular"/>
          <w:color w:val="000000"/>
          <w:sz w:val="20"/>
          <w:szCs w:val="15"/>
          <w:lang w:val="es-CO"/>
        </w:rPr>
        <w:t xml:space="preserve"> de Chile</w:t>
      </w:r>
    </w:p>
    <w:p w:rsidR="00431508" w:rsidRDefault="00431508" w:rsidP="00431508">
      <w:pPr>
        <w:widowControl w:val="0"/>
        <w:suppressAutoHyphens/>
        <w:autoSpaceDE w:val="0"/>
        <w:autoSpaceDN w:val="0"/>
        <w:adjustRightInd w:val="0"/>
        <w:spacing w:after="0" w:line="200" w:lineRule="atLeast"/>
        <w:textAlignment w:val="center"/>
        <w:rPr>
          <w:rFonts w:cs="MinionPro-It"/>
          <w:i/>
          <w:iCs/>
          <w:color w:val="000000"/>
          <w:sz w:val="20"/>
          <w:szCs w:val="15"/>
          <w:lang w:val="es-ES_tradnl"/>
        </w:rPr>
      </w:pPr>
      <w:r w:rsidRPr="00BE3586">
        <w:rPr>
          <w:rFonts w:cs="MinionPro-It"/>
          <w:i/>
          <w:iCs/>
          <w:color w:val="000000"/>
          <w:sz w:val="20"/>
          <w:szCs w:val="15"/>
          <w:lang w:val="es-ES_tradnl"/>
        </w:rPr>
        <w:t>Presidente del Consejo</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Regular"/>
          <w:color w:val="000000"/>
          <w:sz w:val="20"/>
          <w:szCs w:val="15"/>
          <w:lang w:val="es-ES_tradnl"/>
        </w:rPr>
        <w:t>Sylvie Durán Salvatierra</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Regular"/>
          <w:color w:val="000000"/>
          <w:sz w:val="20"/>
          <w:szCs w:val="15"/>
          <w:lang w:val="es-ES_tradnl"/>
        </w:rPr>
        <w:t>Ministra de Cultura y Juventud de Costa Rica</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It"/>
          <w:i/>
          <w:iCs/>
          <w:color w:val="000000"/>
          <w:sz w:val="20"/>
          <w:szCs w:val="15"/>
          <w:lang w:val="es-ES_tradnl"/>
        </w:rPr>
        <w:t>Presidenta del Comité Ejecutivo</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Regular"/>
          <w:color w:val="000000"/>
          <w:sz w:val="20"/>
          <w:szCs w:val="15"/>
          <w:lang w:val="es-ES_tradnl"/>
        </w:rPr>
        <w:t>Marianne Ponsford</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It"/>
          <w:i/>
          <w:iCs/>
          <w:color w:val="000000"/>
          <w:sz w:val="20"/>
          <w:szCs w:val="15"/>
          <w:lang w:val="es-ES_tradnl"/>
        </w:rPr>
        <w:t>Directora</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Regular"/>
          <w:color w:val="000000"/>
          <w:sz w:val="20"/>
          <w:szCs w:val="15"/>
          <w:lang w:val="es-ES_tradnl"/>
        </w:rPr>
        <w:t>Bernardo Jaramillo Hoyos</w:t>
      </w:r>
    </w:p>
    <w:p w:rsidR="00431508" w:rsidRPr="00293727" w:rsidRDefault="00431508" w:rsidP="00431508">
      <w:pPr>
        <w:widowControl w:val="0"/>
        <w:suppressAutoHyphens/>
        <w:autoSpaceDE w:val="0"/>
        <w:autoSpaceDN w:val="0"/>
        <w:adjustRightInd w:val="0"/>
        <w:spacing w:after="0" w:line="200" w:lineRule="atLeast"/>
        <w:textAlignment w:val="center"/>
        <w:rPr>
          <w:rFonts w:cs="MinionPro-Regular"/>
          <w:color w:val="000000"/>
          <w:sz w:val="20"/>
          <w:szCs w:val="15"/>
          <w:lang w:val="es-ES_tradnl"/>
        </w:rPr>
      </w:pPr>
      <w:r w:rsidRPr="00293727">
        <w:rPr>
          <w:rFonts w:cs="MinionPro-It"/>
          <w:i/>
          <w:iCs/>
          <w:color w:val="000000"/>
          <w:sz w:val="20"/>
          <w:szCs w:val="15"/>
          <w:lang w:val="es-ES_tradnl"/>
        </w:rPr>
        <w:t>Subdirector</w:t>
      </w:r>
    </w:p>
    <w:p w:rsidR="00367E0D" w:rsidRPr="00BE3586" w:rsidRDefault="00367E0D" w:rsidP="000D3CE6">
      <w:pPr>
        <w:spacing w:after="0"/>
        <w:rPr>
          <w:rFonts w:cs="MinionPro-Regular"/>
          <w:color w:val="000000"/>
          <w:sz w:val="36"/>
          <w:szCs w:val="25"/>
          <w:lang w:val="es-ES_tradnl"/>
        </w:rPr>
        <w:sectPr w:rsidR="00367E0D" w:rsidRPr="00BE3586" w:rsidSect="00E84CE3">
          <w:pgSz w:w="11907" w:h="16839" w:code="9"/>
          <w:pgMar w:top="1871" w:right="2211" w:bottom="1531" w:left="2495" w:header="851" w:footer="0" w:gutter="0"/>
          <w:cols w:space="720"/>
          <w:vAlign w:val="bottom"/>
          <w:noEndnote/>
          <w:titlePg/>
          <w:docGrid w:linePitch="326"/>
        </w:sectPr>
      </w:pPr>
    </w:p>
    <w:p w:rsidR="00E24C6D" w:rsidRDefault="00E24C6D">
      <w:pPr>
        <w:spacing w:after="0" w:line="240" w:lineRule="auto"/>
        <w:jc w:val="left"/>
        <w:rPr>
          <w:b/>
          <w:sz w:val="32"/>
          <w:lang w:val="es-ES"/>
        </w:rPr>
      </w:pPr>
    </w:p>
    <w:p w:rsidR="005535FF" w:rsidRDefault="005535FF" w:rsidP="00CF324C">
      <w:pPr>
        <w:spacing w:after="0" w:line="240" w:lineRule="auto"/>
        <w:jc w:val="center"/>
        <w:rPr>
          <w:b/>
          <w:lang w:val="es-ES"/>
        </w:rPr>
      </w:pPr>
      <w:r w:rsidRPr="005535FF">
        <w:rPr>
          <w:b/>
          <w:sz w:val="32"/>
          <w:lang w:val="es-ES"/>
        </w:rPr>
        <w:t>Contenidos</w:t>
      </w:r>
    </w:p>
    <w:p w:rsidR="005535FF" w:rsidRDefault="005535FF">
      <w:pPr>
        <w:spacing w:after="0" w:line="240" w:lineRule="auto"/>
        <w:rPr>
          <w:b/>
          <w:lang w:val="es-ES"/>
        </w:rPr>
      </w:pPr>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r w:rsidRPr="005E1E55">
        <w:rPr>
          <w:rFonts w:ascii="Minion Pro" w:hAnsi="Minion Pro"/>
          <w:b w:val="0"/>
          <w:sz w:val="25"/>
          <w:szCs w:val="25"/>
          <w:lang w:val="es-ES"/>
        </w:rPr>
        <w:fldChar w:fldCharType="begin"/>
      </w:r>
      <w:r w:rsidR="005535FF" w:rsidRPr="000449D7">
        <w:rPr>
          <w:rFonts w:ascii="Minion Pro" w:hAnsi="Minion Pro"/>
          <w:b w:val="0"/>
          <w:sz w:val="25"/>
          <w:szCs w:val="25"/>
          <w:lang w:val="es-ES"/>
        </w:rPr>
        <w:instrText xml:space="preserve"> </w:instrText>
      </w:r>
      <w:r w:rsidR="0041191B">
        <w:rPr>
          <w:rFonts w:ascii="Minion Pro" w:hAnsi="Minion Pro"/>
          <w:b w:val="0"/>
          <w:sz w:val="25"/>
          <w:szCs w:val="25"/>
          <w:lang w:val="es-ES"/>
        </w:rPr>
        <w:instrText>TOC</w:instrText>
      </w:r>
      <w:r w:rsidR="005535FF" w:rsidRPr="000449D7">
        <w:rPr>
          <w:rFonts w:ascii="Minion Pro" w:hAnsi="Minion Pro"/>
          <w:b w:val="0"/>
          <w:sz w:val="25"/>
          <w:szCs w:val="25"/>
          <w:lang w:val="es-ES"/>
        </w:rPr>
        <w:instrText xml:space="preserve"> \o "1-3" \h \z \u </w:instrText>
      </w:r>
      <w:r w:rsidRPr="005E1E55">
        <w:rPr>
          <w:rFonts w:ascii="Minion Pro" w:hAnsi="Minion Pro"/>
          <w:b w:val="0"/>
          <w:sz w:val="25"/>
          <w:szCs w:val="25"/>
          <w:lang w:val="es-ES"/>
        </w:rPr>
        <w:fldChar w:fldCharType="separate"/>
      </w:r>
      <w:hyperlink w:anchor="_Toc446953637" w:history="1">
        <w:r w:rsidR="00E90135" w:rsidRPr="00704383">
          <w:rPr>
            <w:rStyle w:val="Hipervnculo"/>
            <w:rFonts w:ascii="Minion Pro" w:hAnsi="Minion Pro" w:cs="Tahoma"/>
            <w:i w:val="0"/>
            <w:noProof/>
            <w:sz w:val="25"/>
            <w:szCs w:val="25"/>
          </w:rPr>
          <w:t>Presentación</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_Toc446953637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4</w:t>
        </w:r>
        <w:r w:rsidRPr="00704383">
          <w:rPr>
            <w:rFonts w:ascii="Minion Pro" w:hAnsi="Minion Pro"/>
            <w:i w:val="0"/>
            <w:noProof/>
            <w:webHidden/>
            <w:sz w:val="25"/>
            <w:szCs w:val="25"/>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38" w:history="1">
        <w:r w:rsidR="00E90135" w:rsidRPr="00704383">
          <w:rPr>
            <w:rStyle w:val="Hipervnculo"/>
            <w:rFonts w:ascii="Minion Pro" w:hAnsi="Minion Pro"/>
            <w:i w:val="0"/>
            <w:noProof/>
            <w:sz w:val="25"/>
            <w:szCs w:val="25"/>
          </w:rPr>
          <w:t>Introducción</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_Toc446953638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6</w:t>
        </w:r>
        <w:r w:rsidRPr="00704383">
          <w:rPr>
            <w:rFonts w:ascii="Minion Pro" w:hAnsi="Minion Pro"/>
            <w:i w:val="0"/>
            <w:noProof/>
            <w:webHidden/>
            <w:sz w:val="25"/>
            <w:szCs w:val="25"/>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39" w:history="1">
        <w:r w:rsidR="00E90135" w:rsidRPr="00704383">
          <w:rPr>
            <w:rStyle w:val="Hipervnculo"/>
            <w:rFonts w:ascii="Minion Pro" w:hAnsi="Minion Pro"/>
            <w:i w:val="0"/>
            <w:noProof/>
            <w:sz w:val="25"/>
            <w:szCs w:val="25"/>
          </w:rPr>
          <w:t>1. El CERLALC al servicio de la región</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_Toc446953639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8</w:t>
        </w:r>
        <w:r w:rsidRPr="00704383">
          <w:rPr>
            <w:rFonts w:ascii="Minion Pro" w:hAnsi="Minion Pro"/>
            <w:i w:val="0"/>
            <w:noProof/>
            <w:webHidden/>
            <w:sz w:val="25"/>
            <w:szCs w:val="25"/>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40" w:history="1">
        <w:r w:rsidR="00E90135" w:rsidRPr="00704383">
          <w:rPr>
            <w:rStyle w:val="Hipervnculo"/>
            <w:rFonts w:ascii="Minion Pro" w:hAnsi="Minion Pro"/>
            <w:noProof/>
            <w:sz w:val="25"/>
            <w:szCs w:val="25"/>
          </w:rPr>
          <w:t>Asistencia técnica a los países miembros del CERLALC</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_Toc446953640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8</w:t>
        </w:r>
        <w:r w:rsidRPr="00704383">
          <w:rPr>
            <w:rFonts w:ascii="Minion Pro" w:hAnsi="Minion Pro"/>
            <w:noProof/>
            <w:webHidden/>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49" w:history="1">
        <w:r w:rsidR="00E90135" w:rsidRPr="00704383">
          <w:rPr>
            <w:rStyle w:val="Hipervnculo"/>
            <w:rFonts w:ascii="Minion Pro" w:hAnsi="Minion Pro"/>
            <w:noProof/>
            <w:sz w:val="25"/>
            <w:szCs w:val="25"/>
          </w:rPr>
          <w:t>Observatorios</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_Toc446953649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14</w:t>
        </w:r>
        <w:r w:rsidRPr="00704383">
          <w:rPr>
            <w:rFonts w:ascii="Minion Pro" w:hAnsi="Minion Pro"/>
            <w:noProof/>
            <w:webHidden/>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53" w:history="1">
        <w:r w:rsidR="00E90135" w:rsidRPr="00704383">
          <w:rPr>
            <w:rStyle w:val="Hipervnculo"/>
            <w:rFonts w:ascii="Minion Pro" w:hAnsi="Minion Pro"/>
            <w:i w:val="0"/>
            <w:noProof/>
            <w:sz w:val="25"/>
            <w:szCs w:val="25"/>
          </w:rPr>
          <w:t>2. Investigación</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_Toc446953653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17</w:t>
        </w:r>
        <w:r w:rsidRPr="00704383">
          <w:rPr>
            <w:rFonts w:ascii="Minion Pro" w:hAnsi="Minion Pro"/>
            <w:i w:val="0"/>
            <w:noProof/>
            <w:webHidden/>
            <w:sz w:val="25"/>
            <w:szCs w:val="25"/>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54" w:history="1">
        <w:r w:rsidR="00E90135" w:rsidRPr="00704383">
          <w:rPr>
            <w:rStyle w:val="Hipervnculo"/>
            <w:rFonts w:ascii="Minion Pro" w:hAnsi="Minion Pro"/>
            <w:noProof/>
            <w:sz w:val="25"/>
            <w:szCs w:val="25"/>
          </w:rPr>
          <w:t>Índice de Desarrollo Lector</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_Toc446953654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17</w:t>
        </w:r>
        <w:r w:rsidRPr="00704383">
          <w:rPr>
            <w:rFonts w:ascii="Minion Pro" w:hAnsi="Minion Pro"/>
            <w:noProof/>
            <w:webHidden/>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55" w:history="1">
        <w:r w:rsidR="00E90135" w:rsidRPr="00704383">
          <w:rPr>
            <w:rStyle w:val="Hipervnculo"/>
            <w:rFonts w:ascii="Minion Pro" w:hAnsi="Minion Pro"/>
            <w:noProof/>
            <w:sz w:val="25"/>
            <w:szCs w:val="25"/>
          </w:rPr>
          <w:t>Diagnóstico de la industria editorial regional</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_Toc446953655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19</w:t>
        </w:r>
        <w:r w:rsidRPr="00704383">
          <w:rPr>
            <w:rFonts w:ascii="Minion Pro" w:hAnsi="Minion Pro"/>
            <w:noProof/>
            <w:webHidden/>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56" w:history="1">
        <w:r w:rsidR="00E90135" w:rsidRPr="00704383">
          <w:rPr>
            <w:rStyle w:val="Hipervnculo"/>
            <w:rFonts w:ascii="Minion Pro" w:hAnsi="Minion Pro"/>
            <w:noProof/>
            <w:kern w:val="32"/>
            <w:sz w:val="25"/>
            <w:szCs w:val="25"/>
          </w:rPr>
          <w:t>Compras públicas de materiales editoriales para uso en establecimientos educativo y en el sistema bibliotecario</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_Toc446953656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20</w:t>
        </w:r>
        <w:r w:rsidRPr="00704383">
          <w:rPr>
            <w:rFonts w:ascii="Minion Pro" w:hAnsi="Minion Pro"/>
            <w:noProof/>
            <w:webHidden/>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57" w:history="1">
        <w:r w:rsidR="00E90135" w:rsidRPr="00704383">
          <w:rPr>
            <w:rStyle w:val="Hipervnculo"/>
            <w:rFonts w:ascii="Minion Pro" w:hAnsi="Minion Pro"/>
            <w:noProof/>
            <w:kern w:val="32"/>
            <w:sz w:val="25"/>
            <w:szCs w:val="25"/>
          </w:rPr>
          <w:t>Estándares de compras públicas para dotación de dispositivos electrónicos en el sistema educativo</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_Toc446953657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20</w:t>
        </w:r>
        <w:r w:rsidRPr="00704383">
          <w:rPr>
            <w:rFonts w:ascii="Minion Pro" w:hAnsi="Minion Pro"/>
            <w:noProof/>
            <w:webHidden/>
          </w:rPr>
          <w:fldChar w:fldCharType="end"/>
        </w:r>
      </w:hyperlink>
    </w:p>
    <w:p w:rsidR="00E90135" w:rsidRPr="00704383" w:rsidRDefault="005E1E55" w:rsidP="00E90135">
      <w:pPr>
        <w:pStyle w:val="TDC2"/>
        <w:rPr>
          <w:rFonts w:ascii="Minion Pro" w:eastAsia="Times New Roman" w:hAnsi="Minion Pro"/>
          <w:noProof/>
          <w:lang w:val="es-ES" w:eastAsia="es-ES"/>
        </w:rPr>
      </w:pPr>
      <w:hyperlink w:anchor="_Toc446953658" w:history="1">
        <w:r w:rsidR="00E90135" w:rsidRPr="00704383">
          <w:rPr>
            <w:rStyle w:val="Hipervnculo"/>
            <w:rFonts w:ascii="Minion Pro" w:hAnsi="Minion Pro"/>
            <w:noProof/>
            <w:kern w:val="32"/>
            <w:sz w:val="25"/>
            <w:szCs w:val="25"/>
          </w:rPr>
          <w:t>Diseño de una metodología para estudios etnográficos de comportamiento lector</w:t>
        </w:r>
        <w:r w:rsidR="00E90135" w:rsidRPr="00704383">
          <w:rPr>
            <w:rFonts w:ascii="Minion Pro" w:hAnsi="Minion Pro"/>
            <w:noProof/>
            <w:webHidden/>
          </w:rPr>
          <w:tab/>
        </w:r>
        <w:r w:rsidRPr="00704383">
          <w:rPr>
            <w:rFonts w:ascii="Minion Pro" w:hAnsi="Minion Pro"/>
            <w:noProof/>
            <w:webHidden/>
          </w:rPr>
          <w:fldChar w:fldCharType="begin"/>
        </w:r>
        <w:r w:rsidR="00E90135" w:rsidRPr="00704383">
          <w:rPr>
            <w:rFonts w:ascii="Minion Pro" w:hAnsi="Minion Pro"/>
            <w:noProof/>
            <w:webHidden/>
          </w:rPr>
          <w:instrText xml:space="preserve"> </w:instrText>
        </w:r>
        <w:r w:rsidR="0041191B">
          <w:rPr>
            <w:rFonts w:ascii="Minion Pro" w:hAnsi="Minion Pro"/>
            <w:noProof/>
            <w:webHidden/>
          </w:rPr>
          <w:instrText>PAGEREF</w:instrText>
        </w:r>
        <w:r w:rsidR="00E90135" w:rsidRPr="00704383">
          <w:rPr>
            <w:rFonts w:ascii="Minion Pro" w:hAnsi="Minion Pro"/>
            <w:noProof/>
            <w:webHidden/>
          </w:rPr>
          <w:instrText xml:space="preserve"> _Toc446953658 \h </w:instrText>
        </w:r>
        <w:r w:rsidRPr="00704383">
          <w:rPr>
            <w:rFonts w:ascii="Minion Pro" w:hAnsi="Minion Pro"/>
            <w:noProof/>
            <w:webHidden/>
          </w:rPr>
        </w:r>
        <w:r w:rsidRPr="00704383">
          <w:rPr>
            <w:rFonts w:ascii="Minion Pro" w:hAnsi="Minion Pro"/>
            <w:noProof/>
            <w:webHidden/>
          </w:rPr>
          <w:fldChar w:fldCharType="separate"/>
        </w:r>
        <w:r w:rsidR="00804D86">
          <w:rPr>
            <w:rFonts w:ascii="Minion Pro" w:hAnsi="Minion Pro"/>
            <w:noProof/>
            <w:webHidden/>
          </w:rPr>
          <w:t>20</w:t>
        </w:r>
        <w:r w:rsidRPr="00704383">
          <w:rPr>
            <w:rFonts w:ascii="Minion Pro" w:hAnsi="Minion Pro"/>
            <w:noProof/>
            <w:webHidden/>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59" w:history="1">
        <w:r w:rsidR="00E90135" w:rsidRPr="00704383">
          <w:rPr>
            <w:rStyle w:val="Hipervnculo"/>
            <w:rFonts w:ascii="Minion Pro" w:hAnsi="Minion Pro"/>
            <w:i w:val="0"/>
            <w:noProof/>
            <w:sz w:val="25"/>
            <w:szCs w:val="25"/>
          </w:rPr>
          <w:t>3. Formación y capacitación</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_Toc446953659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22</w:t>
        </w:r>
        <w:r w:rsidRPr="00704383">
          <w:rPr>
            <w:rFonts w:ascii="Minion Pro" w:hAnsi="Minion Pro"/>
            <w:i w:val="0"/>
            <w:noProof/>
            <w:webHidden/>
            <w:sz w:val="25"/>
            <w:szCs w:val="25"/>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60" w:history="1">
        <w:r w:rsidR="00E90135" w:rsidRPr="00704383">
          <w:rPr>
            <w:rStyle w:val="Hipervnculo"/>
            <w:rFonts w:ascii="Minion Pro" w:hAnsi="Minion Pro"/>
            <w:i w:val="0"/>
            <w:noProof/>
            <w:sz w:val="25"/>
            <w:szCs w:val="25"/>
          </w:rPr>
          <w:t>4. Eventos</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_Toc446953660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24</w:t>
        </w:r>
        <w:r w:rsidRPr="00704383">
          <w:rPr>
            <w:rFonts w:ascii="Minion Pro" w:hAnsi="Minion Pro"/>
            <w:i w:val="0"/>
            <w:noProof/>
            <w:webHidden/>
            <w:sz w:val="25"/>
            <w:szCs w:val="25"/>
          </w:rPr>
          <w:fldChar w:fldCharType="end"/>
        </w:r>
      </w:hyperlink>
    </w:p>
    <w:p w:rsidR="00E90135" w:rsidRPr="00704383" w:rsidRDefault="005E1E55">
      <w:pPr>
        <w:pStyle w:val="TDC1"/>
        <w:tabs>
          <w:tab w:val="right" w:pos="7191"/>
        </w:tabs>
        <w:rPr>
          <w:rFonts w:ascii="Minion Pro" w:eastAsia="Times New Roman" w:hAnsi="Minion Pro"/>
          <w:b w:val="0"/>
          <w:bCs w:val="0"/>
          <w:i w:val="0"/>
          <w:iCs w:val="0"/>
          <w:noProof/>
          <w:sz w:val="25"/>
          <w:szCs w:val="25"/>
          <w:lang w:val="es-ES" w:eastAsia="es-ES"/>
        </w:rPr>
      </w:pPr>
      <w:hyperlink w:anchor="_Toc446953663" w:history="1">
        <w:r w:rsidR="00E90135" w:rsidRPr="00704383">
          <w:rPr>
            <w:rStyle w:val="Hipervnculo"/>
            <w:rFonts w:ascii="Minion Pro" w:hAnsi="Minion Pro"/>
            <w:i w:val="0"/>
            <w:noProof/>
            <w:kern w:val="36"/>
            <w:sz w:val="25"/>
            <w:szCs w:val="25"/>
            <w:lang w:eastAsia="es-ES"/>
          </w:rPr>
          <w:t>5. Comunicaciones y Publicaciones</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_Toc446953663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26</w:t>
        </w:r>
        <w:r w:rsidRPr="00704383">
          <w:rPr>
            <w:rFonts w:ascii="Minion Pro" w:hAnsi="Minion Pro"/>
            <w:i w:val="0"/>
            <w:noProof/>
            <w:webHidden/>
            <w:sz w:val="25"/>
            <w:szCs w:val="25"/>
          </w:rPr>
          <w:fldChar w:fldCharType="end"/>
        </w:r>
      </w:hyperlink>
    </w:p>
    <w:p w:rsidR="00E90135" w:rsidRPr="00704383" w:rsidRDefault="005E1E55" w:rsidP="00704383">
      <w:pPr>
        <w:pStyle w:val="TDC1"/>
        <w:tabs>
          <w:tab w:val="right" w:pos="7191"/>
        </w:tabs>
        <w:jc w:val="left"/>
        <w:rPr>
          <w:rFonts w:ascii="Minion Pro" w:eastAsia="Times New Roman" w:hAnsi="Minion Pro"/>
          <w:b w:val="0"/>
          <w:bCs w:val="0"/>
          <w:i w:val="0"/>
          <w:iCs w:val="0"/>
          <w:noProof/>
          <w:sz w:val="25"/>
          <w:szCs w:val="25"/>
          <w:lang w:val="es-ES" w:eastAsia="es-ES"/>
        </w:rPr>
      </w:pPr>
      <w:hyperlink w:anchor="_Toc446953666" w:history="1">
        <w:r w:rsidR="00E90135" w:rsidRPr="00704383">
          <w:rPr>
            <w:rStyle w:val="Hipervnculo"/>
            <w:rFonts w:ascii="Minion Pro" w:hAnsi="Minion Pro"/>
            <w:i w:val="0"/>
            <w:noProof/>
            <w:sz w:val="25"/>
            <w:szCs w:val="25"/>
          </w:rPr>
          <w:t>Resultados  esperados y actividades del Programa Técnico del CERLALC 2016-2017</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_Toc446953666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28</w:t>
        </w:r>
        <w:r w:rsidRPr="00704383">
          <w:rPr>
            <w:rFonts w:ascii="Minion Pro" w:hAnsi="Minion Pro"/>
            <w:i w:val="0"/>
            <w:noProof/>
            <w:webHidden/>
            <w:sz w:val="25"/>
            <w:szCs w:val="25"/>
          </w:rPr>
          <w:fldChar w:fldCharType="end"/>
        </w:r>
      </w:hyperlink>
    </w:p>
    <w:p w:rsidR="00E90135" w:rsidRPr="00704383" w:rsidRDefault="005E1E55" w:rsidP="00704383">
      <w:pPr>
        <w:pStyle w:val="TDC1"/>
        <w:tabs>
          <w:tab w:val="right" w:pos="7191"/>
        </w:tabs>
        <w:jc w:val="left"/>
        <w:rPr>
          <w:rFonts w:ascii="Minion Pro" w:eastAsia="Times New Roman" w:hAnsi="Minion Pro"/>
          <w:b w:val="0"/>
          <w:bCs w:val="0"/>
          <w:i w:val="0"/>
          <w:iCs w:val="0"/>
          <w:noProof/>
          <w:sz w:val="22"/>
          <w:szCs w:val="22"/>
          <w:lang w:val="es-ES" w:eastAsia="es-ES"/>
        </w:rPr>
      </w:pPr>
      <w:hyperlink w:anchor="_Toc446953667" w:history="1">
        <w:r w:rsidR="00E90135" w:rsidRPr="00704383">
          <w:rPr>
            <w:rStyle w:val="Hipervnculo"/>
            <w:rFonts w:ascii="Minion Pro" w:hAnsi="Minion Pro"/>
            <w:i w:val="0"/>
            <w:noProof/>
            <w:sz w:val="25"/>
            <w:szCs w:val="25"/>
          </w:rPr>
          <w:t xml:space="preserve">Pertinencia de los proyectos del CERLALC con el Programa de la UNESCO </w:t>
        </w:r>
        <w:r w:rsidR="00607EEB">
          <w:rPr>
            <w:rStyle w:val="Hipervnculo"/>
            <w:rFonts w:ascii="Minion Pro" w:hAnsi="Minion Pro"/>
            <w:i w:val="0"/>
            <w:noProof/>
            <w:sz w:val="25"/>
            <w:szCs w:val="25"/>
          </w:rPr>
          <w:t xml:space="preserve">38 </w:t>
        </w:r>
        <w:r w:rsidR="00E90135" w:rsidRPr="00704383">
          <w:rPr>
            <w:rStyle w:val="Hipervnculo"/>
            <w:rFonts w:ascii="Minion Pro" w:hAnsi="Minion Pro"/>
            <w:i w:val="0"/>
            <w:noProof/>
            <w:sz w:val="25"/>
            <w:szCs w:val="25"/>
          </w:rPr>
          <w:t>C/5</w:t>
        </w:r>
        <w:r w:rsidR="00E90135" w:rsidRPr="00704383">
          <w:rPr>
            <w:rFonts w:ascii="Minion Pro" w:hAnsi="Minion Pro"/>
            <w:i w:val="0"/>
            <w:noProof/>
            <w:webHidden/>
            <w:sz w:val="25"/>
            <w:szCs w:val="25"/>
          </w:rPr>
          <w:tab/>
        </w:r>
        <w:r w:rsidRPr="00704383">
          <w:rPr>
            <w:rFonts w:ascii="Minion Pro" w:hAnsi="Minion Pro"/>
            <w:i w:val="0"/>
            <w:noProof/>
            <w:webHidden/>
            <w:sz w:val="25"/>
            <w:szCs w:val="25"/>
          </w:rPr>
          <w:fldChar w:fldCharType="begin"/>
        </w:r>
        <w:r w:rsidR="00E90135" w:rsidRPr="00704383">
          <w:rPr>
            <w:rFonts w:ascii="Minion Pro" w:hAnsi="Minion Pro"/>
            <w:i w:val="0"/>
            <w:noProof/>
            <w:webHidden/>
            <w:sz w:val="25"/>
            <w:szCs w:val="25"/>
          </w:rPr>
          <w:instrText xml:space="preserve"> </w:instrText>
        </w:r>
        <w:r w:rsidR="0041191B">
          <w:rPr>
            <w:rFonts w:ascii="Minion Pro" w:hAnsi="Minion Pro"/>
            <w:i w:val="0"/>
            <w:noProof/>
            <w:webHidden/>
            <w:sz w:val="25"/>
            <w:szCs w:val="25"/>
          </w:rPr>
          <w:instrText>PAGEREF</w:instrText>
        </w:r>
        <w:r w:rsidR="00E90135" w:rsidRPr="00704383">
          <w:rPr>
            <w:rFonts w:ascii="Minion Pro" w:hAnsi="Minion Pro"/>
            <w:i w:val="0"/>
            <w:noProof/>
            <w:webHidden/>
            <w:sz w:val="25"/>
            <w:szCs w:val="25"/>
          </w:rPr>
          <w:instrText xml:space="preserve"> _Toc446953667 \h </w:instrText>
        </w:r>
        <w:r w:rsidRPr="00704383">
          <w:rPr>
            <w:rFonts w:ascii="Minion Pro" w:hAnsi="Minion Pro"/>
            <w:i w:val="0"/>
            <w:noProof/>
            <w:webHidden/>
            <w:sz w:val="25"/>
            <w:szCs w:val="25"/>
          </w:rPr>
        </w:r>
        <w:r w:rsidRPr="00704383">
          <w:rPr>
            <w:rFonts w:ascii="Minion Pro" w:hAnsi="Minion Pro"/>
            <w:i w:val="0"/>
            <w:noProof/>
            <w:webHidden/>
            <w:sz w:val="25"/>
            <w:szCs w:val="25"/>
          </w:rPr>
          <w:fldChar w:fldCharType="separate"/>
        </w:r>
        <w:r w:rsidR="00804D86">
          <w:rPr>
            <w:rFonts w:ascii="Minion Pro" w:hAnsi="Minion Pro"/>
            <w:i w:val="0"/>
            <w:noProof/>
            <w:webHidden/>
            <w:sz w:val="25"/>
            <w:szCs w:val="25"/>
          </w:rPr>
          <w:t>38</w:t>
        </w:r>
        <w:r w:rsidRPr="00704383">
          <w:rPr>
            <w:rFonts w:ascii="Minion Pro" w:hAnsi="Minion Pro"/>
            <w:i w:val="0"/>
            <w:noProof/>
            <w:webHidden/>
            <w:sz w:val="25"/>
            <w:szCs w:val="25"/>
          </w:rPr>
          <w:fldChar w:fldCharType="end"/>
        </w:r>
      </w:hyperlink>
    </w:p>
    <w:p w:rsidR="000449D7" w:rsidRPr="00D40774" w:rsidRDefault="005E1E55" w:rsidP="000449D7">
      <w:pPr>
        <w:pStyle w:val="Ttulo1"/>
        <w:rPr>
          <w:rFonts w:cs="Tahoma"/>
        </w:rPr>
      </w:pPr>
      <w:r w:rsidRPr="000449D7">
        <w:rPr>
          <w:b w:val="0"/>
          <w:szCs w:val="25"/>
        </w:rPr>
        <w:lastRenderedPageBreak/>
        <w:fldChar w:fldCharType="end"/>
      </w:r>
      <w:bookmarkStart w:id="0" w:name="_Toc353546302"/>
      <w:bookmarkStart w:id="1" w:name="_Toc446953637"/>
      <w:r w:rsidR="000449D7" w:rsidRPr="00D40774">
        <w:rPr>
          <w:rFonts w:cs="Tahoma"/>
        </w:rPr>
        <w:t>P</w:t>
      </w:r>
      <w:bookmarkEnd w:id="0"/>
      <w:r w:rsidR="00431508">
        <w:rPr>
          <w:rFonts w:cs="Tahoma"/>
        </w:rPr>
        <w:t>resentación</w:t>
      </w:r>
      <w:bookmarkEnd w:id="1"/>
    </w:p>
    <w:p w:rsidR="00431508" w:rsidRPr="003E10B8" w:rsidRDefault="00431508" w:rsidP="00431508">
      <w:pPr>
        <w:rPr>
          <w:lang w:val="es-ES"/>
        </w:rPr>
      </w:pPr>
      <w:bookmarkStart w:id="2" w:name="_Toc353546303"/>
      <w:r w:rsidRPr="003E10B8">
        <w:rPr>
          <w:lang w:val="es-ES"/>
        </w:rPr>
        <w:t xml:space="preserve">La vocación misional del </w:t>
      </w:r>
      <w:r>
        <w:rPr>
          <w:lang w:val="es-ES"/>
        </w:rPr>
        <w:t>CERLALC –</w:t>
      </w:r>
      <w:r w:rsidRPr="003E10B8">
        <w:rPr>
          <w:lang w:val="es-ES"/>
        </w:rPr>
        <w:t>apoyar el fortalecimiento del sector editorial en la región y prestar asistencia a los países miembros en la construcción de sus políticas en torno al libro y la lectura, así como ayudar a construir una mirada regional en temas del libro y la lectura, tan fundamentales para el desarrollo</w:t>
      </w:r>
      <w:r>
        <w:rPr>
          <w:lang w:val="es-ES"/>
        </w:rPr>
        <w:t>–</w:t>
      </w:r>
      <w:r w:rsidRPr="003E10B8">
        <w:rPr>
          <w:lang w:val="es-ES"/>
        </w:rPr>
        <w:t xml:space="preserve"> es hoy más relevante que nunca.</w:t>
      </w:r>
    </w:p>
    <w:p w:rsidR="00431508" w:rsidRPr="003E10B8" w:rsidRDefault="00431508" w:rsidP="00431508">
      <w:pPr>
        <w:rPr>
          <w:lang w:val="es-ES"/>
        </w:rPr>
      </w:pPr>
      <w:r w:rsidRPr="003E10B8">
        <w:rPr>
          <w:lang w:val="es-ES"/>
        </w:rPr>
        <w:t xml:space="preserve">América Latina necesita mirarse y entenderse a sí misma como región. A diferencia de otras regiones políticas y geográficas del planeta, los países miembros del CERLALC cuentan con el raro privilegio de compartir raíces históricas, culturales y lingüísticas. </w:t>
      </w:r>
    </w:p>
    <w:p w:rsidR="00431508" w:rsidRPr="003E10B8" w:rsidRDefault="00431508" w:rsidP="00431508">
      <w:pPr>
        <w:rPr>
          <w:lang w:val="es-ES"/>
        </w:rPr>
      </w:pPr>
      <w:r w:rsidRPr="003E10B8">
        <w:rPr>
          <w:lang w:val="es-ES"/>
        </w:rPr>
        <w:t xml:space="preserve">Sabemos que el trabajo en el campo de la educación y la democratización del acceso a la lectura tiene aún </w:t>
      </w:r>
      <w:r>
        <w:rPr>
          <w:lang w:val="es-ES"/>
        </w:rPr>
        <w:t>–</w:t>
      </w:r>
      <w:r w:rsidRPr="003E10B8">
        <w:rPr>
          <w:lang w:val="es-ES"/>
        </w:rPr>
        <w:t>a pesar de los ingentes esfuerzos que se han llevado a cabo en las últimas décadas</w:t>
      </w:r>
      <w:r>
        <w:rPr>
          <w:lang w:val="es-ES"/>
        </w:rPr>
        <w:t>–</w:t>
      </w:r>
      <w:r w:rsidRPr="003E10B8">
        <w:rPr>
          <w:lang w:val="es-ES"/>
        </w:rPr>
        <w:t xml:space="preserve"> enormes retos por delante.    </w:t>
      </w:r>
    </w:p>
    <w:p w:rsidR="00431508" w:rsidRPr="003E10B8" w:rsidRDefault="00431508" w:rsidP="00431508">
      <w:pPr>
        <w:rPr>
          <w:lang w:val="es-ES"/>
        </w:rPr>
      </w:pPr>
      <w:r w:rsidRPr="003E10B8">
        <w:rPr>
          <w:lang w:val="es-ES"/>
        </w:rPr>
        <w:t xml:space="preserve">Por eso, un organismo como el CERLALC tiene un rol vital que jugar en el proceso de </w:t>
      </w:r>
      <w:r w:rsidRPr="0041191B">
        <w:rPr>
          <w:lang w:val="es-ES"/>
        </w:rPr>
        <w:t>democratización del subcontinente. Por democratización entendemos, desde un punto de vista institucional, el proceso de construcción de una ciudadanía activa, inteligente, participativa: cosa que no se logra sin acceso</w:t>
      </w:r>
      <w:r w:rsidRPr="003E10B8">
        <w:rPr>
          <w:lang w:val="es-ES"/>
        </w:rPr>
        <w:t xml:space="preserve"> pleno a una educación </w:t>
      </w:r>
      <w:r>
        <w:rPr>
          <w:lang w:val="es-ES"/>
        </w:rPr>
        <w:t>d</w:t>
      </w:r>
      <w:r w:rsidRPr="003E10B8">
        <w:rPr>
          <w:lang w:val="es-ES"/>
        </w:rPr>
        <w:t>e calidad que pasa necesariamente por el desarrollo de capacidades en lectura, escritura y oralidad de los ciudadanos.</w:t>
      </w:r>
    </w:p>
    <w:p w:rsidR="00431508" w:rsidRPr="003E10B8" w:rsidRDefault="00431508" w:rsidP="00431508">
      <w:pPr>
        <w:rPr>
          <w:lang w:val="es-ES"/>
        </w:rPr>
      </w:pPr>
      <w:r w:rsidRPr="003E10B8">
        <w:rPr>
          <w:lang w:val="es-ES"/>
        </w:rPr>
        <w:t>Esa es nuestra misión, y es en ella que nos queremos concentrar: como investigadores, como expertos, como correa de transmisión de buenas prácticas en promoción de</w:t>
      </w:r>
      <w:r>
        <w:rPr>
          <w:lang w:val="es-ES"/>
        </w:rPr>
        <w:t xml:space="preserve"> la lectura.</w:t>
      </w:r>
      <w:r w:rsidRPr="003E10B8">
        <w:rPr>
          <w:lang w:val="es-ES"/>
        </w:rPr>
        <w:t xml:space="preserve"> </w:t>
      </w:r>
      <w:r>
        <w:rPr>
          <w:lang w:val="es-ES"/>
        </w:rPr>
        <w:t>E</w:t>
      </w:r>
      <w:r w:rsidRPr="003E10B8">
        <w:rPr>
          <w:lang w:val="es-ES"/>
        </w:rPr>
        <w:t xml:space="preserve">stamos para apoyar todos los procesos (medición de comportamiento lector, estudios etnográficos, diagnóstico de la industria editorial, planes de lectura, normatividad) que ayuden al subcontinente a consolidar sus </w:t>
      </w:r>
      <w:r>
        <w:rPr>
          <w:lang w:val="es-ES"/>
        </w:rPr>
        <w:t>avances en la</w:t>
      </w:r>
      <w:r w:rsidRPr="003E10B8">
        <w:rPr>
          <w:lang w:val="es-ES"/>
        </w:rPr>
        <w:t xml:space="preserve"> democratización del acceso al conocimiento.</w:t>
      </w:r>
    </w:p>
    <w:p w:rsidR="00431508" w:rsidRPr="003E10B8" w:rsidRDefault="00431508" w:rsidP="00431508">
      <w:pPr>
        <w:rPr>
          <w:lang w:val="es-ES"/>
        </w:rPr>
      </w:pPr>
      <w:r w:rsidRPr="003E10B8">
        <w:rPr>
          <w:lang w:val="es-ES"/>
        </w:rPr>
        <w:t xml:space="preserve">Para ser más fuertes, más claros, más activos, estamos emprendiendo un proceso de reorganización del CERLALC. Más ligeros, más </w:t>
      </w:r>
      <w:r w:rsidRPr="003E10B8">
        <w:rPr>
          <w:lang w:val="es-ES"/>
        </w:rPr>
        <w:lastRenderedPageBreak/>
        <w:t>flexibles, más concentrados en nuestra misión. Tenemos que comunicar más y mejor, y para ello</w:t>
      </w:r>
      <w:r>
        <w:rPr>
          <w:lang w:val="es-ES"/>
        </w:rPr>
        <w:t xml:space="preserve"> reconstruiremos nuestro portal de In</w:t>
      </w:r>
      <w:r w:rsidRPr="003E10B8">
        <w:rPr>
          <w:lang w:val="es-ES"/>
        </w:rPr>
        <w:t xml:space="preserve">ternet, que al fin y al cabo es la puerta de entrada </w:t>
      </w:r>
      <w:r>
        <w:rPr>
          <w:lang w:val="es-ES"/>
        </w:rPr>
        <w:t>a</w:t>
      </w:r>
      <w:r w:rsidRPr="003E10B8">
        <w:rPr>
          <w:lang w:val="es-ES"/>
        </w:rPr>
        <w:t xml:space="preserve"> este centro intergubernamental. Tenemos que reactivar nuestro plan de publicaciones, que ha sido columna vertebral del CERLA</w:t>
      </w:r>
      <w:r>
        <w:rPr>
          <w:lang w:val="es-ES"/>
        </w:rPr>
        <w:t>L</w:t>
      </w:r>
      <w:r w:rsidRPr="003E10B8">
        <w:rPr>
          <w:lang w:val="es-ES"/>
        </w:rPr>
        <w:t xml:space="preserve">C, y </w:t>
      </w:r>
      <w:r>
        <w:rPr>
          <w:lang w:val="es-ES"/>
        </w:rPr>
        <w:t>necesitamos</w:t>
      </w:r>
      <w:r w:rsidRPr="003E10B8">
        <w:rPr>
          <w:lang w:val="es-ES"/>
        </w:rPr>
        <w:t xml:space="preserve"> promocionar más y mejor nuestro trabajo: el apoyo que prestamos a los gobiernos y al</w:t>
      </w:r>
      <w:r>
        <w:rPr>
          <w:lang w:val="es-ES"/>
        </w:rPr>
        <w:t xml:space="preserve"> sector editorial. Debemos, asi</w:t>
      </w:r>
      <w:r w:rsidRPr="003E10B8">
        <w:rPr>
          <w:lang w:val="es-ES"/>
        </w:rPr>
        <w:t>mismo</w:t>
      </w:r>
      <w:r>
        <w:rPr>
          <w:lang w:val="es-ES"/>
        </w:rPr>
        <w:t xml:space="preserve">, </w:t>
      </w:r>
      <w:r w:rsidRPr="003E10B8">
        <w:rPr>
          <w:lang w:val="es-ES"/>
        </w:rPr>
        <w:t>trabajar de manera sostenida para lograr indicadores que permitan compararnos como región, sistematizar y poner a disposición de los países miembros el enorme conocimiento acumulado en temas del libro y la lectura, que hoy está disperso. Fortale</w:t>
      </w:r>
      <w:r>
        <w:rPr>
          <w:lang w:val="es-ES"/>
        </w:rPr>
        <w:t xml:space="preserve">cer nuestro papel de centro de </w:t>
      </w:r>
      <w:r w:rsidRPr="00431508">
        <w:rPr>
          <w:i/>
          <w:lang w:val="es-ES"/>
        </w:rPr>
        <w:t>acopio y distribución</w:t>
      </w:r>
      <w:r w:rsidRPr="003E10B8">
        <w:rPr>
          <w:lang w:val="es-ES"/>
        </w:rPr>
        <w:t xml:space="preserve"> de buenas prácticas, de normatividad, de debate intelectual y de los avances que la región ha logrado en su empeño desde lo público por fortalecer el acceso a la lectura.</w:t>
      </w:r>
    </w:p>
    <w:p w:rsidR="00431508" w:rsidRPr="003E10B8" w:rsidRDefault="00431508" w:rsidP="00431508">
      <w:pPr>
        <w:rPr>
          <w:lang w:val="es-ES"/>
        </w:rPr>
      </w:pPr>
      <w:r>
        <w:rPr>
          <w:lang w:val="es-ES"/>
        </w:rPr>
        <w:t>El</w:t>
      </w:r>
      <w:r w:rsidRPr="003E10B8">
        <w:rPr>
          <w:lang w:val="es-ES"/>
        </w:rPr>
        <w:t xml:space="preserve"> </w:t>
      </w:r>
      <w:r>
        <w:rPr>
          <w:lang w:val="es-ES"/>
        </w:rPr>
        <w:t>P</w:t>
      </w:r>
      <w:r w:rsidRPr="003E10B8">
        <w:rPr>
          <w:lang w:val="es-ES"/>
        </w:rPr>
        <w:t>rograma técnico 2016-2018 está enfocado a ello: fortalecer nuestros cimientos para crecer de la mano de los países que nos gobiernan.</w:t>
      </w:r>
    </w:p>
    <w:p w:rsidR="00431508" w:rsidRDefault="00431508" w:rsidP="00431508">
      <w:pPr>
        <w:spacing w:line="240" w:lineRule="auto"/>
        <w:contextualSpacing/>
        <w:jc w:val="right"/>
        <w:rPr>
          <w:b/>
          <w:sz w:val="24"/>
          <w:lang w:val="es-ES"/>
        </w:rPr>
      </w:pPr>
      <w:r w:rsidRPr="00431508">
        <w:rPr>
          <w:b/>
          <w:sz w:val="24"/>
          <w:lang w:val="es-ES"/>
        </w:rPr>
        <w:t>Marianne Ponsford</w:t>
      </w:r>
    </w:p>
    <w:p w:rsidR="00431508" w:rsidRPr="00431508" w:rsidRDefault="00431508" w:rsidP="00431508">
      <w:pPr>
        <w:spacing w:line="240" w:lineRule="auto"/>
        <w:ind w:left="4320" w:firstLine="720"/>
        <w:contextualSpacing/>
        <w:jc w:val="center"/>
        <w:rPr>
          <w:sz w:val="24"/>
          <w:lang w:val="es-ES"/>
        </w:rPr>
      </w:pPr>
      <w:r w:rsidRPr="00431508">
        <w:rPr>
          <w:sz w:val="24"/>
          <w:lang w:val="es-ES"/>
        </w:rPr>
        <w:t>Directora</w:t>
      </w:r>
    </w:p>
    <w:p w:rsidR="00431508" w:rsidRPr="00431508" w:rsidRDefault="00431508" w:rsidP="00431508">
      <w:pPr>
        <w:pStyle w:val="Ttulo1"/>
      </w:pPr>
      <w:bookmarkStart w:id="3" w:name="_Toc446953638"/>
      <w:bookmarkStart w:id="4" w:name="_Toc353546304"/>
      <w:bookmarkEnd w:id="2"/>
      <w:r w:rsidRPr="00431508">
        <w:lastRenderedPageBreak/>
        <w:t>Introducción</w:t>
      </w:r>
      <w:bookmarkEnd w:id="3"/>
    </w:p>
    <w:p w:rsidR="00431508" w:rsidRPr="0041191B" w:rsidRDefault="00431508" w:rsidP="00431508">
      <w:pPr>
        <w:rPr>
          <w:lang w:val="es-CO"/>
        </w:rPr>
      </w:pPr>
      <w:bookmarkStart w:id="5" w:name="_Toc353546305"/>
      <w:bookmarkEnd w:id="4"/>
      <w:r w:rsidRPr="0041191B">
        <w:rPr>
          <w:lang w:val="es-CO"/>
        </w:rPr>
        <w:t>Es ya un tópico el afirmar que el mundo del libro y de la lectura vive profundas transformaciones. Se ha privilegiado, de alguna manera, el centrar el análisis en el campo del desarrollo tecnológico y, en particular, en el impacto que las tecnologías de</w:t>
      </w:r>
      <w:r w:rsidR="004A2162" w:rsidRPr="0041191B">
        <w:rPr>
          <w:lang w:val="es-CO"/>
        </w:rPr>
        <w:t xml:space="preserve"> la</w:t>
      </w:r>
      <w:r w:rsidRPr="0041191B">
        <w:rPr>
          <w:lang w:val="es-CO"/>
        </w:rPr>
        <w:t xml:space="preserve"> información y</w:t>
      </w:r>
      <w:r w:rsidR="004A2162" w:rsidRPr="0041191B">
        <w:rPr>
          <w:lang w:val="es-CO"/>
        </w:rPr>
        <w:t xml:space="preserve"> la comunicación</w:t>
      </w:r>
      <w:r w:rsidRPr="0041191B">
        <w:rPr>
          <w:lang w:val="es-CO"/>
        </w:rPr>
        <w:t xml:space="preserve"> están generando en los </w:t>
      </w:r>
      <w:r w:rsidR="004A2162" w:rsidRPr="0041191B">
        <w:rPr>
          <w:lang w:val="es-CO"/>
        </w:rPr>
        <w:t>ámbitos</w:t>
      </w:r>
      <w:r w:rsidRPr="0041191B">
        <w:rPr>
          <w:lang w:val="es-CO"/>
        </w:rPr>
        <w:t xml:space="preserve"> de la producción, circulación y acceso a los contenidos editoriales.</w:t>
      </w:r>
    </w:p>
    <w:p w:rsidR="00431508" w:rsidRPr="0041191B" w:rsidRDefault="00431508" w:rsidP="00431508">
      <w:pPr>
        <w:rPr>
          <w:lang w:val="es-CO"/>
        </w:rPr>
      </w:pPr>
      <w:r w:rsidRPr="0041191B">
        <w:rPr>
          <w:lang w:val="es-CO"/>
        </w:rPr>
        <w:t>Si se reflexiona sobre el mundo del libro y de la lectura en América Latina, a los cambios suscitados por las</w:t>
      </w:r>
      <w:r w:rsidR="004A2162" w:rsidRPr="0041191B">
        <w:rPr>
          <w:lang w:val="es-CO"/>
        </w:rPr>
        <w:t xml:space="preserve"> nuevas tendencias tecnológicas</w:t>
      </w:r>
      <w:r w:rsidRPr="0041191B">
        <w:rPr>
          <w:lang w:val="es-CO"/>
        </w:rPr>
        <w:t xml:space="preserve"> habría que agregarle un elemento adicional: la profunda transformación que la estructura social, demográfica y económica ha vivido en las dos últimas décadas y las necesarias proyecciones hacia el futuro.</w:t>
      </w:r>
    </w:p>
    <w:p w:rsidR="00431508" w:rsidRPr="0041191B" w:rsidRDefault="00431508" w:rsidP="00431508">
      <w:pPr>
        <w:rPr>
          <w:lang w:val="es-CO"/>
        </w:rPr>
      </w:pPr>
      <w:r w:rsidRPr="0041191B">
        <w:rPr>
          <w:lang w:val="es-CO"/>
        </w:rPr>
        <w:t>El CERLALC ha sido un actor privilegiado de este proceso a lo largo de sus 45 años de existencia</w:t>
      </w:r>
      <w:r w:rsidR="004A2162" w:rsidRPr="0041191B">
        <w:rPr>
          <w:lang w:val="es-CO"/>
        </w:rPr>
        <w:t>,</w:t>
      </w:r>
      <w:r w:rsidRPr="0041191B">
        <w:rPr>
          <w:lang w:val="es-CO"/>
        </w:rPr>
        <w:t xml:space="preserve"> y ha actuado en consonancia con las demandas planteadas por los países miembros y por la comunidad del libro y la lectura, en una gestión que ha sido ampliamente reconocida en la región. Formación de agentes del libro, asistencia en la formulación de políticas nacionales del libro y la lectura, apoyo en la construcción de normativas específicas para el sector</w:t>
      </w:r>
      <w:r w:rsidR="004A2162" w:rsidRPr="0041191B">
        <w:rPr>
          <w:lang w:val="es-CO"/>
        </w:rPr>
        <w:t>, investigaciones e información</w:t>
      </w:r>
      <w:r w:rsidRPr="0041191B">
        <w:rPr>
          <w:lang w:val="es-CO"/>
        </w:rPr>
        <w:t xml:space="preserve"> y construcción de rede</w:t>
      </w:r>
      <w:r w:rsidR="004A2162" w:rsidRPr="0041191B">
        <w:rPr>
          <w:lang w:val="es-CO"/>
        </w:rPr>
        <w:t>s especializadas</w:t>
      </w:r>
      <w:r w:rsidRPr="0041191B">
        <w:rPr>
          <w:lang w:val="es-CO"/>
        </w:rPr>
        <w:t xml:space="preserve"> han sido los vehículos a través de los cuales el Centro ha concretado su misión. En estas más de cuatro décadas se ha construido un importante acervo de experiencias y de información, </w:t>
      </w:r>
      <w:r w:rsidR="004A2162" w:rsidRPr="0041191B">
        <w:rPr>
          <w:lang w:val="es-CO"/>
        </w:rPr>
        <w:t>el</w:t>
      </w:r>
      <w:r w:rsidRPr="0041191B">
        <w:rPr>
          <w:lang w:val="es-CO"/>
        </w:rPr>
        <w:t xml:space="preserve"> </w:t>
      </w:r>
      <w:r w:rsidR="004A2162" w:rsidRPr="0041191B">
        <w:rPr>
          <w:lang w:val="es-CO"/>
        </w:rPr>
        <w:t>cual</w:t>
      </w:r>
      <w:r w:rsidRPr="0041191B">
        <w:rPr>
          <w:lang w:val="es-CO"/>
        </w:rPr>
        <w:t xml:space="preserve"> le ha permitido al CERLALC convertirse en un centro de pensamiento sobre el sector en la región y para la región.</w:t>
      </w:r>
    </w:p>
    <w:p w:rsidR="00431508" w:rsidRPr="0041191B" w:rsidRDefault="00431508" w:rsidP="00431508">
      <w:pPr>
        <w:rPr>
          <w:lang w:val="es-CO"/>
        </w:rPr>
      </w:pPr>
      <w:r w:rsidRPr="0041191B">
        <w:rPr>
          <w:lang w:val="es-CO"/>
        </w:rPr>
        <w:t xml:space="preserve">Una nueva agenda en el campo de la educación y de la cultura tiene que transitar necesariamente por los terrenos de las tecnologías de la información y la comunicación, y apuntar al fortalecimiento de su uso como herramientas para ampliar el acceso y mejorar la calidad, así como también para construir un espacio cultural y educativo más inclusivo y democrático. Los riesgos que entraña el subirse a la ola del cambio tecnológico son bastante altos. La presión desde los centros productores de tecnología, que se refleja en los acuerdos de libre </w:t>
      </w:r>
      <w:r w:rsidRPr="0041191B">
        <w:rPr>
          <w:lang w:val="es-CO"/>
        </w:rPr>
        <w:lastRenderedPageBreak/>
        <w:t>comercio de última generación, impone compromisos y comportamientos que no se armonizan adecuadamente con las reales posibilidades del contexto regional. La gobernabilidad del cambio implica repensar cuidadosamente las condiciones del entorno, identificar las debilidades y fortalezas, las oportunidades y las amenazas</w:t>
      </w:r>
      <w:r w:rsidR="004A2162" w:rsidRPr="0041191B">
        <w:rPr>
          <w:lang w:val="es-CO"/>
        </w:rPr>
        <w:t>,</w:t>
      </w:r>
      <w:r w:rsidRPr="0041191B">
        <w:rPr>
          <w:lang w:val="es-CO"/>
        </w:rPr>
        <w:t xml:space="preserve"> para poder configurar una respuesta adecuada desde las políticas públicas. </w:t>
      </w:r>
    </w:p>
    <w:p w:rsidR="00431508" w:rsidRPr="0041191B" w:rsidRDefault="00431508" w:rsidP="00431508">
      <w:pPr>
        <w:rPr>
          <w:lang w:val="es-CO"/>
        </w:rPr>
      </w:pPr>
      <w:r w:rsidRPr="0041191B">
        <w:rPr>
          <w:lang w:val="es-CO"/>
        </w:rPr>
        <w:t xml:space="preserve">Plantear un plan de acción del Centro hacia el corto y el mediano plazo implica </w:t>
      </w:r>
      <w:r w:rsidR="004A2162" w:rsidRPr="0041191B">
        <w:rPr>
          <w:lang w:val="es-CO"/>
        </w:rPr>
        <w:t xml:space="preserve">necesariamente </w:t>
      </w:r>
      <w:r w:rsidRPr="0041191B">
        <w:rPr>
          <w:lang w:val="es-CO"/>
        </w:rPr>
        <w:t>volver la mirada hacia lo recorrido, dibujar claramente el panorama actual y empezar a trazar derroteros hacia el futuro inmediato. En ese sentido, la propuesta de Programa</w:t>
      </w:r>
      <w:r w:rsidR="004A2162" w:rsidRPr="0041191B">
        <w:rPr>
          <w:lang w:val="es-CO"/>
        </w:rPr>
        <w:t xml:space="preserve"> t</w:t>
      </w:r>
      <w:r w:rsidRPr="0041191B">
        <w:rPr>
          <w:lang w:val="es-CO"/>
        </w:rPr>
        <w:t>écnico para el bienio 2016-2017 se centra fundamentalmente en trabajar en esos tres frentes: recuperación constructiva de lo realizado en el pasado reciente; identificación de los temas críticos y d</w:t>
      </w:r>
      <w:r w:rsidR="004A2162" w:rsidRPr="0041191B">
        <w:rPr>
          <w:lang w:val="es-CO"/>
        </w:rPr>
        <w:t>e las tendencias en el presente,</w:t>
      </w:r>
      <w:r w:rsidRPr="0041191B">
        <w:rPr>
          <w:lang w:val="es-CO"/>
        </w:rPr>
        <w:t xml:space="preserve"> y la construcción colectiva de propues</w:t>
      </w:r>
      <w:r w:rsidR="004A2162" w:rsidRPr="0041191B">
        <w:rPr>
          <w:lang w:val="es-CO"/>
        </w:rPr>
        <w:t xml:space="preserve">tas de acción hacia el futuro. </w:t>
      </w:r>
      <w:r w:rsidRPr="0041191B">
        <w:rPr>
          <w:lang w:val="es-CO"/>
        </w:rPr>
        <w:t xml:space="preserve">Estos son los elementos que, en esencia, definen un centro de pensamiento que actúa como un observatorio de un fenómeno particular. El CERLALC ha actuado, de alguna manera, en esa dirección, pero sin concretar su acción en instrumentos ordenados y sistemáticos que pongan al servicio de la región </w:t>
      </w:r>
      <w:r w:rsidR="004A2162" w:rsidRPr="0041191B">
        <w:rPr>
          <w:lang w:val="es-CO"/>
        </w:rPr>
        <w:t>su</w:t>
      </w:r>
      <w:r w:rsidRPr="0041191B">
        <w:rPr>
          <w:lang w:val="es-CO"/>
        </w:rPr>
        <w:t xml:space="preserve"> larga experiencia del y</w:t>
      </w:r>
      <w:r w:rsidR="004A2162" w:rsidRPr="0041191B">
        <w:rPr>
          <w:lang w:val="es-CO"/>
        </w:rPr>
        <w:t xml:space="preserve"> la</w:t>
      </w:r>
      <w:r w:rsidRPr="0041191B">
        <w:rPr>
          <w:lang w:val="es-CO"/>
        </w:rPr>
        <w:t xml:space="preserve"> de </w:t>
      </w:r>
      <w:r w:rsidR="004A2162" w:rsidRPr="0041191B">
        <w:rPr>
          <w:lang w:val="es-CO"/>
        </w:rPr>
        <w:t>sus</w:t>
      </w:r>
      <w:r w:rsidRPr="0041191B">
        <w:rPr>
          <w:lang w:val="es-CO"/>
        </w:rPr>
        <w:t xml:space="preserve"> países miembros en la promoción de la lectura y del libro. Al tiempo que se</w:t>
      </w:r>
      <w:r w:rsidR="004A2162" w:rsidRPr="0041191B">
        <w:rPr>
          <w:lang w:val="es-CO"/>
        </w:rPr>
        <w:t xml:space="preserve"> hace este ejercicio de observación</w:t>
      </w:r>
      <w:r w:rsidRPr="0041191B">
        <w:rPr>
          <w:lang w:val="es-CO"/>
        </w:rPr>
        <w:t xml:space="preserve">, el CERLALC trabajará en los frentes estratégicos en los que ha venido desarrollando su actividad: formación de actores del libro, investigación y estudios y asistencia técnica a los países miembros (ISBN, visibilidad de la producción editorial, construcción de normativas, etc.), </w:t>
      </w:r>
      <w:r w:rsidR="004A2162" w:rsidRPr="0041191B">
        <w:rPr>
          <w:lang w:val="es-CO"/>
        </w:rPr>
        <w:t>los cuales,</w:t>
      </w:r>
      <w:r w:rsidRPr="0041191B">
        <w:rPr>
          <w:lang w:val="es-CO"/>
        </w:rPr>
        <w:t xml:space="preserve"> a su vez</w:t>
      </w:r>
      <w:r w:rsidR="004A2162" w:rsidRPr="0041191B">
        <w:rPr>
          <w:lang w:val="es-CO"/>
        </w:rPr>
        <w:t>,</w:t>
      </w:r>
      <w:r w:rsidRPr="0041191B">
        <w:rPr>
          <w:lang w:val="es-CO"/>
        </w:rPr>
        <w:t xml:space="preserve"> fortalecerán el conocimiento del sector y el diálogo entre los actores implicados.</w:t>
      </w:r>
    </w:p>
    <w:p w:rsidR="00607EEB" w:rsidRPr="0041191B" w:rsidRDefault="00607EEB" w:rsidP="00431508">
      <w:pPr>
        <w:rPr>
          <w:lang w:val="es-CO"/>
        </w:rPr>
      </w:pPr>
      <w:r w:rsidRPr="0041191B">
        <w:rPr>
          <w:lang w:val="es-CO"/>
        </w:rPr>
        <w:t>El Programa Técnico del CERLALC, como centro de categoría 2 de la UNESCO, aporta a los objetivos de la estrategia de mediano plazo de la Organización, en particular en los Programas de Educación y Cultura y en las actividades del Instituto de Estadística de la UNESCO.</w:t>
      </w:r>
      <w:r w:rsidR="00673714" w:rsidRPr="0041191B">
        <w:rPr>
          <w:lang w:val="es-CO"/>
        </w:rPr>
        <w:t xml:space="preserve"> En el Gran Programa de Educación, las acciones que realiza el CERLALC se inscriben en el Eje de acción 1, que busca </w:t>
      </w:r>
      <w:r w:rsidR="00B81B74" w:rsidRPr="0041191B">
        <w:rPr>
          <w:lang w:val="es-CO"/>
        </w:rPr>
        <w:t>“</w:t>
      </w:r>
      <w:r w:rsidR="00673714" w:rsidRPr="0041191B">
        <w:rPr>
          <w:lang w:val="es-CO"/>
        </w:rPr>
        <w:t xml:space="preserve">apoyar a los Estados Miembros en el desarrollo de sistemas educativos que promuevan un </w:t>
      </w:r>
      <w:r w:rsidR="00673714" w:rsidRPr="0041191B">
        <w:rPr>
          <w:lang w:val="es-CO"/>
        </w:rPr>
        <w:lastRenderedPageBreak/>
        <w:t>aprendizaje a lo largo de toda la vida para todos, de gran calidad e inclusivo</w:t>
      </w:r>
      <w:r w:rsidR="00B81B74" w:rsidRPr="0041191B">
        <w:rPr>
          <w:lang w:val="es-CO"/>
        </w:rPr>
        <w:t>”</w:t>
      </w:r>
      <w:r w:rsidR="00673714" w:rsidRPr="0041191B">
        <w:rPr>
          <w:lang w:val="es-CO"/>
        </w:rPr>
        <w:t>. Las actividades del CERLALC, en particular las relacionadas con la promoción de la lectura y el desarrollo de las bibliotecas escolares apuntan directamente al logro de estos resultados, en particular en el trabajo que se realizará a través de los Observatorios que creará el CERLALC durante el presente bienio. El impulso al desarrollo de medi</w:t>
      </w:r>
      <w:r w:rsidR="00B81B74" w:rsidRPr="0041191B">
        <w:rPr>
          <w:lang w:val="es-CO"/>
        </w:rPr>
        <w:t>ciones de comportamiento lector y las investigaciones sobre los procesos de compras públicas de materiales para estudiantes y bibliotecas y la adquisición y uso de dispositivos electrónicos en el sector educativo c</w:t>
      </w:r>
      <w:r w:rsidR="00673714" w:rsidRPr="0041191B">
        <w:rPr>
          <w:lang w:val="es-CO"/>
        </w:rPr>
        <w:t>ontribuirá</w:t>
      </w:r>
      <w:r w:rsidR="00B81B74" w:rsidRPr="0041191B">
        <w:rPr>
          <w:lang w:val="es-CO"/>
        </w:rPr>
        <w:t>n</w:t>
      </w:r>
      <w:r w:rsidR="00673714" w:rsidRPr="0041191B">
        <w:rPr>
          <w:lang w:val="es-CO"/>
        </w:rPr>
        <w:t xml:space="preserve"> en igual sentido.</w:t>
      </w:r>
    </w:p>
    <w:p w:rsidR="00673714" w:rsidRPr="0041191B" w:rsidRDefault="00673714" w:rsidP="00431508">
      <w:pPr>
        <w:rPr>
          <w:lang w:val="es-CO"/>
        </w:rPr>
      </w:pPr>
      <w:r w:rsidRPr="0041191B">
        <w:rPr>
          <w:lang w:val="es-CO"/>
        </w:rPr>
        <w:t xml:space="preserve">En cuanto al Gran Programa de Cultura, las acciones del CERLALC se ubican </w:t>
      </w:r>
      <w:r w:rsidR="00B81B74" w:rsidRPr="0041191B">
        <w:rPr>
          <w:lang w:val="es-CO"/>
        </w:rPr>
        <w:t>fundamentalmente</w:t>
      </w:r>
      <w:r w:rsidRPr="0041191B">
        <w:rPr>
          <w:lang w:val="es-CO"/>
        </w:rPr>
        <w:t xml:space="preserve"> en el Eje de acción 2</w:t>
      </w:r>
      <w:r w:rsidR="00B81B74" w:rsidRPr="0041191B">
        <w:rPr>
          <w:lang w:val="es-CO"/>
        </w:rPr>
        <w:t xml:space="preserve"> que busca “Apoyar y promover la diversidad de las expresiones culturales, la salvaguardia del patrimonio cultural inmaterial y el desarrollo de industrias culturales y creativas”. Proyectos como el Índice de Desarrollo lector, el emprendimiento de diagnósticos sobre el sector editorial y el desarrollo del Índice de Desarrollo Lector y la actividad de los Observatorios especializados contribuyen al fortalecimiento de las industrias culturales y creativas de la región.</w:t>
      </w:r>
    </w:p>
    <w:p w:rsidR="00B81B74" w:rsidRDefault="00B81B74" w:rsidP="00431508">
      <w:pPr>
        <w:rPr>
          <w:lang w:val="es-CO"/>
        </w:rPr>
      </w:pPr>
      <w:r w:rsidRPr="0041191B">
        <w:rPr>
          <w:lang w:val="es-CO"/>
        </w:rPr>
        <w:t>Finalmente, otra de las actividades del programa técnico del CERLALC, relacionada con el diseño de metodologías y la producción y diseminación de información sobre</w:t>
      </w:r>
      <w:r w:rsidR="006947D0" w:rsidRPr="0041191B">
        <w:rPr>
          <w:lang w:val="es-CO"/>
        </w:rPr>
        <w:t xml:space="preserve"> creación intelectual,</w:t>
      </w:r>
      <w:r w:rsidRPr="0041191B">
        <w:rPr>
          <w:lang w:val="es-CO"/>
        </w:rPr>
        <w:t xml:space="preserve"> lectura, bibliotecas, producción y circulación del libro </w:t>
      </w:r>
      <w:r w:rsidR="006947D0" w:rsidRPr="0041191B">
        <w:rPr>
          <w:lang w:val="es-CO"/>
        </w:rPr>
        <w:t>contribuye directamente a los resultados esperados del programa de la UNESCO, referidos al Instituto de Estadísticas de la UNESCO, que en su Eje de acción 3</w:t>
      </w:r>
      <w:r w:rsidRPr="0041191B">
        <w:rPr>
          <w:lang w:val="es-CO"/>
        </w:rPr>
        <w:t xml:space="preserve"> </w:t>
      </w:r>
      <w:r w:rsidR="006947D0" w:rsidRPr="0041191B">
        <w:rPr>
          <w:lang w:val="es-CO"/>
        </w:rPr>
        <w:t>se plantea la “elaboración de estadísticas internacionales sobre ciencia, tecnología e innovación; cultura, comunicación e información”.</w:t>
      </w:r>
    </w:p>
    <w:p w:rsidR="00B81B74" w:rsidRDefault="00B81B74" w:rsidP="00431508">
      <w:pPr>
        <w:rPr>
          <w:lang w:val="es-CO"/>
        </w:rPr>
      </w:pPr>
    </w:p>
    <w:p w:rsidR="00673714" w:rsidRDefault="00673714" w:rsidP="00431508">
      <w:pPr>
        <w:rPr>
          <w:lang w:val="es-CO"/>
        </w:rPr>
      </w:pPr>
    </w:p>
    <w:p w:rsidR="004A2162" w:rsidRPr="004A2162" w:rsidRDefault="009A6C8F" w:rsidP="009A6C8F">
      <w:pPr>
        <w:pStyle w:val="Ttulo1"/>
      </w:pPr>
      <w:bookmarkStart w:id="6" w:name="_Toc446953639"/>
      <w:r>
        <w:lastRenderedPageBreak/>
        <w:t xml:space="preserve">1. </w:t>
      </w:r>
      <w:r w:rsidR="004A2162" w:rsidRPr="004A2162">
        <w:t>El CERLALC al servicio de la región</w:t>
      </w:r>
      <w:bookmarkEnd w:id="6"/>
    </w:p>
    <w:p w:rsidR="004A2162" w:rsidRPr="00604753" w:rsidRDefault="004A2162" w:rsidP="004A2162">
      <w:pPr>
        <w:pStyle w:val="Ttulo2"/>
      </w:pPr>
      <w:bookmarkStart w:id="7" w:name="_Toc446953640"/>
      <w:r w:rsidRPr="00604753">
        <w:t>Asistencia técnica a los países miembros del CERLALC</w:t>
      </w:r>
      <w:bookmarkEnd w:id="7"/>
    </w:p>
    <w:p w:rsidR="004A2162" w:rsidRDefault="004A2162" w:rsidP="004A2162">
      <w:pPr>
        <w:pStyle w:val="Ttulo3"/>
        <w:rPr>
          <w:sz w:val="24"/>
          <w:lang w:val="es-CO"/>
        </w:rPr>
      </w:pPr>
      <w:bookmarkStart w:id="8" w:name="_Toc446949073"/>
      <w:bookmarkStart w:id="9" w:name="_Toc446949145"/>
      <w:bookmarkStart w:id="10" w:name="_Toc446953641"/>
      <w:r w:rsidRPr="004A2162">
        <w:rPr>
          <w:rFonts w:eastAsia="Cambria"/>
          <w:lang w:val="es-ES"/>
        </w:rPr>
        <w:t>Apoyo en la revisión de las políticas nacionales del libro</w:t>
      </w:r>
      <w:bookmarkEnd w:id="8"/>
      <w:bookmarkEnd w:id="9"/>
      <w:bookmarkEnd w:id="10"/>
      <w:r w:rsidRPr="004A2162">
        <w:rPr>
          <w:sz w:val="24"/>
          <w:lang w:val="es-CO"/>
        </w:rPr>
        <w:t xml:space="preserve"> </w:t>
      </w:r>
    </w:p>
    <w:p w:rsidR="004A2162" w:rsidRPr="004A2162" w:rsidRDefault="004A2162" w:rsidP="004A2162">
      <w:pPr>
        <w:rPr>
          <w:lang w:val="es-CO"/>
        </w:rPr>
      </w:pPr>
      <w:r w:rsidRPr="004A2162">
        <w:rPr>
          <w:lang w:val="es-CO"/>
        </w:rPr>
        <w:t>En la coyuntura actual, frente a las grandes transformaciones que vive el mundo del libro y ante las nuevas realidades sociales, educativas, demográficas y económicas de la región, los países miembros del CERLALC se enfrentan a la necesidad</w:t>
      </w:r>
      <w:r>
        <w:rPr>
          <w:lang w:val="es-CO"/>
        </w:rPr>
        <w:t>,</w:t>
      </w:r>
      <w:r w:rsidRPr="004A2162">
        <w:rPr>
          <w:lang w:val="es-CO"/>
        </w:rPr>
        <w:t xml:space="preserve"> en algunos casos</w:t>
      </w:r>
      <w:r>
        <w:rPr>
          <w:lang w:val="es-CO"/>
        </w:rPr>
        <w:t>,</w:t>
      </w:r>
      <w:r w:rsidRPr="004A2162">
        <w:rPr>
          <w:lang w:val="es-CO"/>
        </w:rPr>
        <w:t xml:space="preserve"> de construir y</w:t>
      </w:r>
      <w:r>
        <w:rPr>
          <w:lang w:val="es-CO"/>
        </w:rPr>
        <w:t>, en otros,</w:t>
      </w:r>
      <w:r w:rsidRPr="004A2162">
        <w:rPr>
          <w:lang w:val="es-CO"/>
        </w:rPr>
        <w:t xml:space="preserve"> de revisar</w:t>
      </w:r>
      <w:r>
        <w:rPr>
          <w:lang w:val="es-CO"/>
        </w:rPr>
        <w:t xml:space="preserve"> </w:t>
      </w:r>
      <w:r w:rsidRPr="004A2162">
        <w:rPr>
          <w:lang w:val="es-CO"/>
        </w:rPr>
        <w:t xml:space="preserve">las políticas nacionales del libro y la lectura con el propósito de armonizar las acciones que se vienen desarrollando, </w:t>
      </w:r>
      <w:r>
        <w:rPr>
          <w:lang w:val="es-CO"/>
        </w:rPr>
        <w:t>para así</w:t>
      </w:r>
      <w:r w:rsidRPr="004A2162">
        <w:rPr>
          <w:lang w:val="es-CO"/>
        </w:rPr>
        <w:t xml:space="preserve"> fortalecer la institucionalidad alrededor del libro y la lectura. Son varios los países de la región que han manifestado su interés en desarrollar actividades en este campo y es un imperativo para el CERLALC fortalecer su capacidad de apoyar</w:t>
      </w:r>
      <w:r>
        <w:rPr>
          <w:lang w:val="es-CO"/>
        </w:rPr>
        <w:t>los</w:t>
      </w:r>
      <w:r w:rsidRPr="004A2162">
        <w:rPr>
          <w:lang w:val="es-CO"/>
        </w:rPr>
        <w:t xml:space="preserve"> directamente. En este contexto, se buscará establecer una agenda de contactos con las instituciones de enlace en </w:t>
      </w:r>
      <w:r>
        <w:rPr>
          <w:lang w:val="es-CO"/>
        </w:rPr>
        <w:t>cada uno de los países miembros;</w:t>
      </w:r>
      <w:r w:rsidRPr="004A2162">
        <w:rPr>
          <w:lang w:val="es-CO"/>
        </w:rPr>
        <w:t xml:space="preserve"> el diseño de instrumentos para levantar un estado del arte de la situación en la región</w:t>
      </w:r>
      <w:r>
        <w:rPr>
          <w:lang w:val="es-CO"/>
        </w:rPr>
        <w:t>,</w:t>
      </w:r>
      <w:r w:rsidRPr="004A2162">
        <w:rPr>
          <w:lang w:val="es-CO"/>
        </w:rPr>
        <w:t xml:space="preserve"> y la intensificación de acciones con países que han hecho explícito el interés de trabajar con el CERLALC en estos ámbitos (Costa Rica, Guatemala, Perú y Uruguay).</w:t>
      </w:r>
    </w:p>
    <w:p w:rsidR="004A2162" w:rsidRDefault="004A2162" w:rsidP="004A2162">
      <w:pPr>
        <w:pStyle w:val="Ttulo3"/>
        <w:rPr>
          <w:lang w:val="es-CO"/>
        </w:rPr>
      </w:pPr>
      <w:bookmarkStart w:id="11" w:name="_Toc446949074"/>
      <w:bookmarkStart w:id="12" w:name="_Toc446949146"/>
      <w:bookmarkStart w:id="13" w:name="_Toc446953642"/>
      <w:r w:rsidRPr="004A2162">
        <w:rPr>
          <w:lang w:val="es-CO"/>
        </w:rPr>
        <w:t>Apoyo en el diseño de planes nacionales y locales de lectura</w:t>
      </w:r>
      <w:bookmarkEnd w:id="11"/>
      <w:bookmarkEnd w:id="12"/>
      <w:bookmarkEnd w:id="13"/>
      <w:r w:rsidRPr="004A2162">
        <w:rPr>
          <w:lang w:val="es-CO"/>
        </w:rPr>
        <w:t xml:space="preserve"> </w:t>
      </w:r>
    </w:p>
    <w:p w:rsidR="004A2162" w:rsidRPr="004A2162" w:rsidRDefault="004A2162" w:rsidP="00356B1A">
      <w:pPr>
        <w:rPr>
          <w:lang w:val="es-CO"/>
        </w:rPr>
      </w:pPr>
      <w:r w:rsidRPr="004A2162">
        <w:rPr>
          <w:lang w:val="es-CO"/>
        </w:rPr>
        <w:t xml:space="preserve">Ante las evidentes transformaciones que están viviendo el sector del libro y todos sus actores como </w:t>
      </w:r>
      <w:r w:rsidR="00356B1A">
        <w:rPr>
          <w:lang w:val="es-CO"/>
        </w:rPr>
        <w:t>consecuencia</w:t>
      </w:r>
      <w:r w:rsidRPr="004A2162">
        <w:rPr>
          <w:lang w:val="es-CO"/>
        </w:rPr>
        <w:t xml:space="preserve"> de la creciente penetración de las tecnologías de la información y la comunicación, la región tiene el imperativo de revisar los planes de lectura (allí donde están en ejecución) o de sentar las bases para la construcción de nuevos planes que incorporen los retos que plantean los tiempos que corren. Todos los actores de la cadena del libro y de la lectura están siendo permeados por estos cambios: el sistema educativo y los docentes; las bibliotecas y los bibliotecarios; los autores y los editores; el circuito de distribución y circulación del libro. En el centro de todo se encuentran los lectores. Entender las formas en que se lee hoy, la penetración de nuevos formatos y dispositivos de lectura, es fundamental para diseñar nuevas </w:t>
      </w:r>
      <w:r w:rsidRPr="004A2162">
        <w:rPr>
          <w:lang w:val="es-CO"/>
        </w:rPr>
        <w:lastRenderedPageBreak/>
        <w:t>estrategias de promoción de la lectura y fortalecer su papel central en la sociedad: construir ciudadanía y participación, bases de una sociedad democrática. La región ha avanzado en las últimas décadas, eso es indudable. Pero los objetivos de los planes de lectura tienen que tener un enfoque que dé respuesta a demandas</w:t>
      </w:r>
      <w:r w:rsidR="00356B1A">
        <w:rPr>
          <w:lang w:val="es-CO"/>
        </w:rPr>
        <w:t xml:space="preserve">  inéditas</w:t>
      </w:r>
      <w:r w:rsidRPr="004A2162">
        <w:rPr>
          <w:lang w:val="es-CO"/>
        </w:rPr>
        <w:t>, que desarrolle el potencial de crecimiento ofrecido por las nuevas tecnologías y que garantice la inserción exitosa de nuestros países en la sociedad de la información y del conocimiento.</w:t>
      </w:r>
    </w:p>
    <w:p w:rsidR="004A2162" w:rsidRPr="006130B6" w:rsidRDefault="004A2162" w:rsidP="00356B1A">
      <w:pPr>
        <w:rPr>
          <w:lang w:val="es-CO"/>
        </w:rPr>
      </w:pPr>
      <w:r w:rsidRPr="00604753">
        <w:rPr>
          <w:lang w:val="es-CO"/>
        </w:rPr>
        <w:t>En ese contexto, se propone diseñar una propuesta preliminar de</w:t>
      </w:r>
      <w:r w:rsidR="00356B1A">
        <w:rPr>
          <w:lang w:val="es-CO"/>
        </w:rPr>
        <w:t xml:space="preserve"> un</w:t>
      </w:r>
      <w:r w:rsidRPr="00604753">
        <w:rPr>
          <w:lang w:val="es-CO"/>
        </w:rPr>
        <w:t xml:space="preserve"> </w:t>
      </w:r>
      <w:r w:rsidRPr="00965500">
        <w:rPr>
          <w:i/>
          <w:lang w:val="es-CO"/>
        </w:rPr>
        <w:t>Plan Iberoamericano de Lectura: el encuentro con lo digital</w:t>
      </w:r>
      <w:r w:rsidRPr="00604753">
        <w:rPr>
          <w:lang w:val="es-CO"/>
        </w:rPr>
        <w:t xml:space="preserve">, </w:t>
      </w:r>
      <w:r>
        <w:rPr>
          <w:lang w:val="es-CO"/>
        </w:rPr>
        <w:t xml:space="preserve">que será consensuada con los países miembros del CERLALC, con el propósito </w:t>
      </w:r>
      <w:r w:rsidR="00356B1A">
        <w:rPr>
          <w:lang w:val="es-CO"/>
        </w:rPr>
        <w:t>de elevarla</w:t>
      </w:r>
      <w:r>
        <w:rPr>
          <w:lang w:val="es-CO"/>
        </w:rPr>
        <w:t xml:space="preserve"> a la consideración de la 26</w:t>
      </w:r>
      <w:r w:rsidRPr="00604753">
        <w:rPr>
          <w:lang w:val="es-CO"/>
        </w:rPr>
        <w:t>ª Cumbre Iberoamericana de Jefes de Estado y de Gobierno</w:t>
      </w:r>
      <w:r>
        <w:rPr>
          <w:lang w:val="es-CO"/>
        </w:rPr>
        <w:t xml:space="preserve">. </w:t>
      </w:r>
      <w:r w:rsidRPr="00604753">
        <w:rPr>
          <w:lang w:val="es-CO"/>
        </w:rPr>
        <w:t>Esta actividad podría enmarcarse dentro de la Red Iberoamericana de Responsables de Po</w:t>
      </w:r>
      <w:r w:rsidR="00704383">
        <w:rPr>
          <w:lang w:val="es-CO"/>
        </w:rPr>
        <w:t>líticas y Planes de Lectura Redp</w:t>
      </w:r>
      <w:r w:rsidRPr="00604753">
        <w:rPr>
          <w:lang w:val="es-CO"/>
        </w:rPr>
        <w:t xml:space="preserve">lanes, un instrumento que ha tenido la tarea de hacer seguimiento a la evolución de los planes de lectura en la región. </w:t>
      </w:r>
      <w:r>
        <w:rPr>
          <w:lang w:val="es-CO"/>
        </w:rPr>
        <w:t xml:space="preserve">Igualmente, se actualizará el documento </w:t>
      </w:r>
      <w:r w:rsidRPr="006130B6">
        <w:rPr>
          <w:i/>
          <w:lang w:val="es-CO"/>
        </w:rPr>
        <w:t>Una región de lectores que crece. Análisis comparado de planes nacionales de lectura en Iberoamérica</w:t>
      </w:r>
      <w:r w:rsidR="00356B1A">
        <w:rPr>
          <w:lang w:val="es-CO"/>
        </w:rPr>
        <w:t>, publicado en 2014.</w:t>
      </w:r>
    </w:p>
    <w:p w:rsidR="004A2162" w:rsidRPr="00604753" w:rsidRDefault="004A2162" w:rsidP="00356B1A">
      <w:pPr>
        <w:rPr>
          <w:lang w:val="es-CO"/>
        </w:rPr>
      </w:pPr>
      <w:r w:rsidRPr="00604753">
        <w:rPr>
          <w:lang w:val="es-CO"/>
        </w:rPr>
        <w:t>En este mismo ámbito</w:t>
      </w:r>
      <w:r w:rsidR="00356B1A">
        <w:rPr>
          <w:lang w:val="es-CO"/>
        </w:rPr>
        <w:t>,</w:t>
      </w:r>
      <w:r w:rsidRPr="00604753">
        <w:rPr>
          <w:lang w:val="es-CO"/>
        </w:rPr>
        <w:t xml:space="preserve"> el CERLALC procurará insertar los temas relacionados con su </w:t>
      </w:r>
      <w:r w:rsidR="00356B1A">
        <w:rPr>
          <w:lang w:val="es-CO"/>
        </w:rPr>
        <w:t>encargo</w:t>
      </w:r>
      <w:r w:rsidRPr="00604753">
        <w:rPr>
          <w:lang w:val="es-CO"/>
        </w:rPr>
        <w:t xml:space="preserve"> misional dentro de la Agenda Digital Cultural Iberoamericana </w:t>
      </w:r>
      <w:r w:rsidR="00356B1A">
        <w:rPr>
          <w:lang w:val="es-CO"/>
        </w:rPr>
        <w:t>Cabe resaltar que el Centro y</w:t>
      </w:r>
      <w:r w:rsidRPr="00604753">
        <w:rPr>
          <w:lang w:val="es-CO"/>
        </w:rPr>
        <w:t>a</w:t>
      </w:r>
      <w:r w:rsidR="00356B1A">
        <w:rPr>
          <w:lang w:val="es-CO"/>
        </w:rPr>
        <w:t xml:space="preserve"> </w:t>
      </w:r>
      <w:r w:rsidRPr="00604753">
        <w:rPr>
          <w:lang w:val="es-CO"/>
        </w:rPr>
        <w:t>ha hecho avances notables en la configuración de una propuesta de agenda digital para el sector de la lectura, el libro y las bibliotecas con la adopción</w:t>
      </w:r>
      <w:r w:rsidR="00CC391F">
        <w:rPr>
          <w:lang w:val="es-CO"/>
        </w:rPr>
        <w:t>,</w:t>
      </w:r>
      <w:r w:rsidRPr="00604753">
        <w:rPr>
          <w:lang w:val="es-CO"/>
        </w:rPr>
        <w:t xml:space="preserve"> en 2013</w:t>
      </w:r>
      <w:r w:rsidR="00CC391F">
        <w:rPr>
          <w:lang w:val="es-CO"/>
        </w:rPr>
        <w:t>,</w:t>
      </w:r>
      <w:r w:rsidRPr="00604753">
        <w:rPr>
          <w:lang w:val="es-CO"/>
        </w:rPr>
        <w:t xml:space="preserve"> de la </w:t>
      </w:r>
      <w:r w:rsidRPr="00965500">
        <w:rPr>
          <w:i/>
          <w:lang w:val="es-CO"/>
        </w:rPr>
        <w:t>Nueva agenda por el libro y la lectura: recomendaciones para políticas públicas en Iberoamérica</w:t>
      </w:r>
      <w:r w:rsidRPr="00604753">
        <w:rPr>
          <w:lang w:val="es-CO"/>
        </w:rPr>
        <w:t xml:space="preserve">. El propósito es el de poner en valor el ejercicio que viene realizando el Centro desde </w:t>
      </w:r>
      <w:r w:rsidR="00356B1A">
        <w:rPr>
          <w:lang w:val="es-CO"/>
        </w:rPr>
        <w:t>ese año</w:t>
      </w:r>
      <w:r w:rsidRPr="00604753">
        <w:rPr>
          <w:lang w:val="es-CO"/>
        </w:rPr>
        <w:t xml:space="preserve"> e incluir los temas estratégicos </w:t>
      </w:r>
      <w:r w:rsidR="00356B1A">
        <w:rPr>
          <w:lang w:val="es-CO"/>
        </w:rPr>
        <w:t>allí planteados</w:t>
      </w:r>
      <w:r w:rsidRPr="00604753">
        <w:rPr>
          <w:lang w:val="es-CO"/>
        </w:rPr>
        <w:t xml:space="preserve"> dentro de la propuesta Agenda Digital Cultural Iberoamericana</w:t>
      </w:r>
      <w:r w:rsidR="00356B1A">
        <w:rPr>
          <w:lang w:val="es-CO"/>
        </w:rPr>
        <w:t>,</w:t>
      </w:r>
      <w:r w:rsidRPr="00604753">
        <w:rPr>
          <w:lang w:val="es-CO"/>
        </w:rPr>
        <w:t xml:space="preserve"> </w:t>
      </w:r>
      <w:r w:rsidR="00356B1A">
        <w:rPr>
          <w:lang w:val="es-CO"/>
        </w:rPr>
        <w:t>así como</w:t>
      </w:r>
      <w:r w:rsidRPr="00604753">
        <w:rPr>
          <w:lang w:val="es-CO"/>
        </w:rPr>
        <w:t xml:space="preserve"> participar activamente en las actividades del grupo creado por la Cumbre de Veracruz.</w:t>
      </w:r>
    </w:p>
    <w:p w:rsidR="00356B1A" w:rsidRDefault="004A2162" w:rsidP="00356B1A">
      <w:pPr>
        <w:pStyle w:val="Ttulo3"/>
        <w:rPr>
          <w:lang w:val="es-CO"/>
        </w:rPr>
      </w:pPr>
      <w:bookmarkStart w:id="14" w:name="_Toc446949075"/>
      <w:bookmarkStart w:id="15" w:name="_Toc446949147"/>
      <w:bookmarkStart w:id="16" w:name="_Toc446953643"/>
      <w:r w:rsidRPr="00356B1A">
        <w:rPr>
          <w:lang w:val="es-CO"/>
        </w:rPr>
        <w:lastRenderedPageBreak/>
        <w:t>Asistencia técnica en la revisión de normativas relacionadas con libro, lectura, bibliotecas y derecho de autor</w:t>
      </w:r>
      <w:bookmarkEnd w:id="14"/>
      <w:bookmarkEnd w:id="15"/>
      <w:bookmarkEnd w:id="16"/>
      <w:r w:rsidRPr="00356B1A">
        <w:rPr>
          <w:lang w:val="es-CO"/>
        </w:rPr>
        <w:t xml:space="preserve"> </w:t>
      </w:r>
    </w:p>
    <w:p w:rsidR="00356B1A" w:rsidRDefault="004A2162" w:rsidP="00356B1A">
      <w:pPr>
        <w:rPr>
          <w:lang w:val="es-CO"/>
        </w:rPr>
      </w:pPr>
      <w:r w:rsidRPr="00356B1A">
        <w:rPr>
          <w:lang w:val="es-CO"/>
        </w:rPr>
        <w:t>La normatividad en torno a los temas del sector es abundante. En los últimos años</w:t>
      </w:r>
      <w:r w:rsidR="00CC391F">
        <w:rPr>
          <w:lang w:val="es-CO"/>
        </w:rPr>
        <w:t>,</w:t>
      </w:r>
      <w:r w:rsidRPr="00356B1A">
        <w:rPr>
          <w:lang w:val="es-CO"/>
        </w:rPr>
        <w:t xml:space="preserve"> el CERLALC  ha hecho una tarea parcial de recopilación, algo que urge completar y poner a disposición de la región, en una especie de análisis comparado, que permita ver las diferencias existentes entre los </w:t>
      </w:r>
      <w:r w:rsidR="00CC391F">
        <w:rPr>
          <w:lang w:val="es-CO"/>
        </w:rPr>
        <w:t>diversos</w:t>
      </w:r>
      <w:r w:rsidRPr="00356B1A">
        <w:rPr>
          <w:lang w:val="es-CO"/>
        </w:rPr>
        <w:t xml:space="preserve"> instrumentos normativos y trace caminos para su actualización. Esta es una demanda insistente por parte de los países miembros, la cual se busca atender con herramientas que les permitan conocer el estado del arte del tema en la región y en el mundo.</w:t>
      </w:r>
    </w:p>
    <w:p w:rsidR="00356B1A" w:rsidRDefault="004A2162" w:rsidP="00356B1A">
      <w:pPr>
        <w:pStyle w:val="Ttulo3"/>
        <w:rPr>
          <w:lang w:val="es-CO"/>
        </w:rPr>
      </w:pPr>
      <w:bookmarkStart w:id="17" w:name="_Toc446949076"/>
      <w:bookmarkStart w:id="18" w:name="_Toc446949148"/>
      <w:bookmarkStart w:id="19" w:name="_Toc446953644"/>
      <w:r w:rsidRPr="00356B1A">
        <w:rPr>
          <w:lang w:val="es-CO"/>
        </w:rPr>
        <w:t>Asistencia técnica en temas relacionados con el derecho de autor y el estímulo a la creación intelectual</w:t>
      </w:r>
      <w:bookmarkEnd w:id="17"/>
      <w:bookmarkEnd w:id="18"/>
      <w:bookmarkEnd w:id="19"/>
    </w:p>
    <w:p w:rsidR="004A2162" w:rsidRPr="00356B1A" w:rsidRDefault="004A2162" w:rsidP="00356B1A">
      <w:pPr>
        <w:rPr>
          <w:lang w:val="es-CO"/>
        </w:rPr>
      </w:pPr>
      <w:r w:rsidRPr="00356B1A">
        <w:rPr>
          <w:lang w:val="es-CO"/>
        </w:rPr>
        <w:t>El CERLALC tiene una larga trayectoria en el acompañamiento a los países de la región en la actualización de sus normativas en torno al derecho de autor, tarea que debe mantenerse hacia el futuro, tanto bajo la forma de actualización de instrumentos legales, como en la puesta a disposición de la vasta jurisprudencia sobre el tema (hoy disponible en la base</w:t>
      </w:r>
      <w:r w:rsidR="00CC391F">
        <w:rPr>
          <w:lang w:val="es-CO"/>
        </w:rPr>
        <w:t xml:space="preserve"> de</w:t>
      </w:r>
      <w:r w:rsidRPr="00356B1A">
        <w:rPr>
          <w:lang w:val="es-CO"/>
        </w:rPr>
        <w:t xml:space="preserve"> </w:t>
      </w:r>
      <w:r w:rsidR="00CC391F">
        <w:rPr>
          <w:lang w:val="es-CO"/>
        </w:rPr>
        <w:t>D</w:t>
      </w:r>
      <w:r w:rsidRPr="00356B1A">
        <w:rPr>
          <w:lang w:val="es-CO"/>
        </w:rPr>
        <w:t xml:space="preserve">erechos de </w:t>
      </w:r>
      <w:r w:rsidR="00CC391F">
        <w:rPr>
          <w:lang w:val="es-CO"/>
        </w:rPr>
        <w:t>A</w:t>
      </w:r>
      <w:r w:rsidRPr="00356B1A">
        <w:rPr>
          <w:lang w:val="es-CO"/>
        </w:rPr>
        <w:t>utor</w:t>
      </w:r>
      <w:r w:rsidR="00CC391F">
        <w:rPr>
          <w:lang w:val="es-CO"/>
        </w:rPr>
        <w:t xml:space="preserve"> Regional,</w:t>
      </w:r>
      <w:r w:rsidRPr="00356B1A">
        <w:rPr>
          <w:lang w:val="es-CO"/>
        </w:rPr>
        <w:t xml:space="preserve"> DAR, del CERLALC), así como en la generación de lineamientos sobre derecho de autor en el contexto de los nuevos modelos de negocio en el sector editorial, en su relación con los autores, los gobiernos y el sistema bibliotecario.</w:t>
      </w:r>
    </w:p>
    <w:p w:rsidR="00356B1A" w:rsidRDefault="004A2162" w:rsidP="00356B1A">
      <w:pPr>
        <w:pStyle w:val="Ttulo3"/>
        <w:rPr>
          <w:lang w:val="es-CO"/>
        </w:rPr>
      </w:pPr>
      <w:bookmarkStart w:id="20" w:name="_Toc446949077"/>
      <w:bookmarkStart w:id="21" w:name="_Toc446949149"/>
      <w:bookmarkStart w:id="22" w:name="_Toc446953645"/>
      <w:r w:rsidRPr="00356B1A">
        <w:rPr>
          <w:lang w:val="es-CO"/>
        </w:rPr>
        <w:t>Asistencia técnica en el diseño y análisis de estudios de comportamiento lector</w:t>
      </w:r>
      <w:bookmarkEnd w:id="20"/>
      <w:bookmarkEnd w:id="21"/>
      <w:bookmarkEnd w:id="22"/>
    </w:p>
    <w:p w:rsidR="00CC391F" w:rsidRDefault="004A2162" w:rsidP="00356B1A">
      <w:pPr>
        <w:rPr>
          <w:lang w:val="es-CO"/>
        </w:rPr>
      </w:pPr>
      <w:r w:rsidRPr="00356B1A">
        <w:rPr>
          <w:lang w:val="es-CO"/>
        </w:rPr>
        <w:t xml:space="preserve">La lectura se ha convertido en un tema omnipresente </w:t>
      </w:r>
      <w:r w:rsidR="00CC391F">
        <w:rPr>
          <w:lang w:val="es-CO"/>
        </w:rPr>
        <w:t>en</w:t>
      </w:r>
      <w:r w:rsidRPr="00356B1A">
        <w:rPr>
          <w:lang w:val="es-CO"/>
        </w:rPr>
        <w:t xml:space="preserve"> la agenda de los gobiernos iberoamericanos por la importancia que reviste para el desarrollo social, la inserción exitosa de la población a los procesos educativos, el ejercicio de la participación ciudadana y el fortalecimiento de capacidades sociales, educativas y laborales de los individuos. </w:t>
      </w:r>
    </w:p>
    <w:p w:rsidR="004A2162" w:rsidRPr="00604753" w:rsidRDefault="004A2162" w:rsidP="00356B1A">
      <w:pPr>
        <w:rPr>
          <w:lang w:val="es-CO"/>
        </w:rPr>
      </w:pPr>
      <w:r w:rsidRPr="00604753">
        <w:rPr>
          <w:lang w:val="es-CO"/>
        </w:rPr>
        <w:t xml:space="preserve">En la década pasada, varios países emprendieron mediciones y evaluaciones para hacer seguimiento a las prácticas de lectura de su </w:t>
      </w:r>
      <w:r w:rsidRPr="00604753">
        <w:rPr>
          <w:lang w:val="es-CO"/>
        </w:rPr>
        <w:lastRenderedPageBreak/>
        <w:t xml:space="preserve">población. Ya fuera por iniciativa pública o privada, estos estudios buscaban subsanar la carencia de información oportuna y fiable, bien para orientar la formulación de políticas públicas, bien para la toma de decisiones de negocio. Las mediciones se realizaron en Argentina, Brasil, Chile, Colombia, España, México, Perú, Portugal, República Dominicana y Uruguay. En los casos de Brasil, Colombia, España y México, éstas se volvieron recurrentes para mantener un flujo periódico de información del desarrollo lector y de los hábitos de lectura de la población. </w:t>
      </w:r>
    </w:p>
    <w:p w:rsidR="00CC391F" w:rsidRDefault="004A2162" w:rsidP="00356B1A">
      <w:pPr>
        <w:rPr>
          <w:lang w:val="es-CO"/>
        </w:rPr>
      </w:pPr>
      <w:r w:rsidRPr="00604753">
        <w:rPr>
          <w:lang w:val="es-CO"/>
        </w:rPr>
        <w:t xml:space="preserve">Desde 2011, las mediciones se han incrementado a causa de la implementación en un mayor número de países de planes y programas de lectura desde el nivel central, lo que hace imprescindible una evaluación de sus resultados.  A la par, ha habido un creciente interés por estudiar los propios instrumentos de medición. El CERLALC publicó en 2011 una propuesta metodológica, </w:t>
      </w:r>
      <w:r w:rsidRPr="00604753">
        <w:rPr>
          <w:i/>
          <w:lang w:val="es-CO"/>
        </w:rPr>
        <w:t>Metodología común para explorar y medir el comportamiento lector</w:t>
      </w:r>
      <w:r w:rsidRPr="00604753">
        <w:rPr>
          <w:lang w:val="es-CO"/>
        </w:rPr>
        <w:t>, que buscaba no sólo servir de referencia para los estudios de este tipo, sino propiciar la obtención de indicadores comunes y, por ende, comparables. Del análisis de los resultados obtenidos en los diferentes países, se observó un común denominador: la tendencia a privilegiar en las investigaciones la lectura de libros. Se encontró, además, que la práctica de la lectura, cuando no disminuía, apenas se mantenía estable. No había una correspondencia entre el comportamiento de indicadores socioeconómicos o de cobertura educativa con los índices de lectura obtenidos. Este hecho daba fuerza a la idea de que una de las mayores carencias de la región residía en la incapacidad para dar debida cuenta de los fenómenos emergen</w:t>
      </w:r>
      <w:r w:rsidR="00CC391F">
        <w:rPr>
          <w:lang w:val="es-CO"/>
        </w:rPr>
        <w:t xml:space="preserve">tes en las prácticas de lectura, propios de </w:t>
      </w:r>
      <w:r w:rsidRPr="00604753">
        <w:rPr>
          <w:lang w:val="es-CO"/>
        </w:rPr>
        <w:t xml:space="preserve">un escenario de transición, en el que conviven simultáneamente distintos medios y lenguajes y se solapan los consumos. Era preciso revaluar lo que se entiende por leer y escribir y, de paso, buscar unidades de medición que se adecuaran a esa respuesta. </w:t>
      </w:r>
    </w:p>
    <w:p w:rsidR="004A2162" w:rsidRPr="00604753" w:rsidRDefault="004A2162" w:rsidP="00356B1A">
      <w:pPr>
        <w:rPr>
          <w:lang w:val="es-CO"/>
        </w:rPr>
      </w:pPr>
      <w:r w:rsidRPr="00604753">
        <w:rPr>
          <w:lang w:val="es-CO"/>
        </w:rPr>
        <w:t xml:space="preserve">El diagnóstico realizado en el CERLALC apuntaba, por tanto, a que los instrumentos utilizados no estaban recabando adecuadamente la información, ni explorando la lectura en todas sus dimensiones. Por todo lo anterior, el </w:t>
      </w:r>
      <w:r w:rsidR="00CC391F">
        <w:rPr>
          <w:lang w:val="es-CO"/>
        </w:rPr>
        <w:t>Centro</w:t>
      </w:r>
      <w:r w:rsidRPr="00604753">
        <w:rPr>
          <w:lang w:val="es-CO"/>
        </w:rPr>
        <w:t xml:space="preserve"> consideró indispensable revisar la propuesta </w:t>
      </w:r>
      <w:r w:rsidRPr="00604753">
        <w:rPr>
          <w:lang w:val="es-CO"/>
        </w:rPr>
        <w:lastRenderedPageBreak/>
        <w:t xml:space="preserve">metodológica publicada en 2011. El resultado es la </w:t>
      </w:r>
      <w:r w:rsidRPr="00604753">
        <w:rPr>
          <w:i/>
          <w:lang w:val="es-CO"/>
        </w:rPr>
        <w:t>Metodología común para explorar y medir el comportamiento lector. El encuentro con lo digital</w:t>
      </w:r>
      <w:r w:rsidRPr="00604753">
        <w:rPr>
          <w:lang w:val="es-CO"/>
        </w:rPr>
        <w:t xml:space="preserve"> (2014). </w:t>
      </w:r>
    </w:p>
    <w:p w:rsidR="004A2162" w:rsidRDefault="004A2162" w:rsidP="00356B1A">
      <w:pPr>
        <w:rPr>
          <w:lang w:val="es-CO"/>
        </w:rPr>
      </w:pPr>
      <w:r w:rsidRPr="00604753">
        <w:rPr>
          <w:lang w:val="es-CO"/>
        </w:rPr>
        <w:t>El propósito</w:t>
      </w:r>
      <w:r w:rsidR="00CC391F">
        <w:rPr>
          <w:lang w:val="es-CO"/>
        </w:rPr>
        <w:t xml:space="preserve"> </w:t>
      </w:r>
      <w:r w:rsidRPr="00604753">
        <w:rPr>
          <w:lang w:val="es-CO"/>
        </w:rPr>
        <w:t>es continuar promoviendo el uso de la nueva metodología en las encuestas que se emprendan en la región (que ya ha sido utilizada parcialmente en las encuestas de Colombia y México). En un escenario ideal, la propuesta metodológica del CERLALC podría aplicarse, sincrónicamente, en los países de la región, con el fin de presentar estadísticas e indicadores comparables entre los países, para configurar así un mapa regional del comportamiento lector, que sería insumo fundamental en la redefinición de las políticas nacionales del libro y la lectura y de los planes nacionales de lectura.</w:t>
      </w:r>
    </w:p>
    <w:p w:rsidR="00CC391F" w:rsidRDefault="004A2162" w:rsidP="00CC391F">
      <w:pPr>
        <w:pStyle w:val="Ttulo3"/>
        <w:rPr>
          <w:lang w:val="es-CO"/>
        </w:rPr>
      </w:pPr>
      <w:bookmarkStart w:id="23" w:name="_Toc446949078"/>
      <w:bookmarkStart w:id="24" w:name="_Toc446949150"/>
      <w:bookmarkStart w:id="25" w:name="_Toc446953646"/>
      <w:r w:rsidRPr="00CC391F">
        <w:rPr>
          <w:lang w:val="es-CO"/>
        </w:rPr>
        <w:t>Asistencia técnica en el diseño y análisis de diagnósticos del sector editorial</w:t>
      </w:r>
      <w:bookmarkEnd w:id="23"/>
      <w:bookmarkEnd w:id="24"/>
      <w:bookmarkEnd w:id="25"/>
      <w:r w:rsidRPr="00CC391F">
        <w:rPr>
          <w:lang w:val="es-CO"/>
        </w:rPr>
        <w:t xml:space="preserve"> </w:t>
      </w:r>
    </w:p>
    <w:p w:rsidR="004A2162" w:rsidRPr="00CC391F" w:rsidRDefault="004A2162" w:rsidP="00CC391F">
      <w:pPr>
        <w:rPr>
          <w:lang w:val="es-CO"/>
        </w:rPr>
      </w:pPr>
      <w:r w:rsidRPr="00CC391F">
        <w:rPr>
          <w:lang w:val="es-CO"/>
        </w:rPr>
        <w:t xml:space="preserve">Desde sus primeros años de funcionamiento, el CERLALC </w:t>
      </w:r>
      <w:r w:rsidR="00F967EE">
        <w:rPr>
          <w:lang w:val="es-CO"/>
        </w:rPr>
        <w:t xml:space="preserve">desplegó una </w:t>
      </w:r>
      <w:r w:rsidRPr="00CC391F">
        <w:rPr>
          <w:lang w:val="es-CO"/>
        </w:rPr>
        <w:t xml:space="preserve">intensa actividad </w:t>
      </w:r>
      <w:r w:rsidR="00F967EE">
        <w:rPr>
          <w:lang w:val="es-CO"/>
        </w:rPr>
        <w:t>para</w:t>
      </w:r>
      <w:r w:rsidRPr="00CC391F">
        <w:rPr>
          <w:lang w:val="es-CO"/>
        </w:rPr>
        <w:t xml:space="preserve"> ayudar a los países en la construcción de diagnósticos nacionales del sector del libro como una herramienta indispensable para la formulación de políticas nacionales del libro y de la lectura. Hoy, cuando se plantea la necesidad de revisar </w:t>
      </w:r>
      <w:r w:rsidR="00F967EE">
        <w:rPr>
          <w:lang w:val="es-CO"/>
        </w:rPr>
        <w:t>estas últimas</w:t>
      </w:r>
      <w:r w:rsidRPr="00CC391F">
        <w:rPr>
          <w:lang w:val="es-CO"/>
        </w:rPr>
        <w:t xml:space="preserve">, urge actualizar los diagnósticos nacionales del sector del libro y la lectura, para identificar las variables clave sobre las que deben actuar las políticas públicas. En ese campo, el CERLALC actualizará las metodologías para una aproximación al diagnóstico del sector y promoverá entre los países miembros el </w:t>
      </w:r>
      <w:r w:rsidR="00F967EE">
        <w:rPr>
          <w:lang w:val="es-CO"/>
        </w:rPr>
        <w:t>llevar a cabo</w:t>
      </w:r>
      <w:r w:rsidRPr="00CC391F">
        <w:rPr>
          <w:lang w:val="es-CO"/>
        </w:rPr>
        <w:t xml:space="preserve"> estudios nacionales, en </w:t>
      </w:r>
      <w:r w:rsidR="00F967EE">
        <w:rPr>
          <w:lang w:val="es-CO"/>
        </w:rPr>
        <w:t>cuyo desarrollo el Centro</w:t>
      </w:r>
      <w:r w:rsidRPr="00CC391F">
        <w:rPr>
          <w:lang w:val="es-CO"/>
        </w:rPr>
        <w:t xml:space="preserve"> puede actuar como socio de instancias nacionales especializadas.</w:t>
      </w:r>
    </w:p>
    <w:p w:rsidR="00CC391F" w:rsidRPr="009A6C8F" w:rsidRDefault="004A2162" w:rsidP="00F967EE">
      <w:pPr>
        <w:pStyle w:val="Ttulo3"/>
        <w:rPr>
          <w:lang w:val="es-ES"/>
        </w:rPr>
      </w:pPr>
      <w:bookmarkStart w:id="26" w:name="_Toc446949079"/>
      <w:bookmarkStart w:id="27" w:name="_Toc446949151"/>
      <w:bookmarkStart w:id="28" w:name="_Toc446953647"/>
      <w:r w:rsidRPr="009A6C8F">
        <w:rPr>
          <w:lang w:val="es-ES"/>
        </w:rPr>
        <w:t>Fortalecimiento de l</w:t>
      </w:r>
      <w:r w:rsidR="00CC391F" w:rsidRPr="009A6C8F">
        <w:rPr>
          <w:lang w:val="es-ES"/>
        </w:rPr>
        <w:t>as agencias nacionales del ISBN</w:t>
      </w:r>
      <w:bookmarkEnd w:id="26"/>
      <w:bookmarkEnd w:id="27"/>
      <w:bookmarkEnd w:id="28"/>
      <w:r w:rsidRPr="009A6C8F">
        <w:rPr>
          <w:lang w:val="es-ES"/>
        </w:rPr>
        <w:t xml:space="preserve"> </w:t>
      </w:r>
    </w:p>
    <w:p w:rsidR="004A2162" w:rsidRPr="00CC391F" w:rsidRDefault="004A2162" w:rsidP="00F967EE">
      <w:pPr>
        <w:rPr>
          <w:lang w:val="es-CO"/>
        </w:rPr>
      </w:pPr>
      <w:r w:rsidRPr="00CC391F">
        <w:rPr>
          <w:lang w:val="es-CO"/>
        </w:rPr>
        <w:t>El CERLALC ha promovido los procesos de implantación y seguimiento del sistema ISBN en América Latina. La asistencia técnica de</w:t>
      </w:r>
      <w:r w:rsidR="00F967EE">
        <w:rPr>
          <w:lang w:val="es-CO"/>
        </w:rPr>
        <w:t>l</w:t>
      </w:r>
      <w:r w:rsidRPr="00CC391F">
        <w:rPr>
          <w:lang w:val="es-CO"/>
        </w:rPr>
        <w:t xml:space="preserve"> </w:t>
      </w:r>
      <w:r w:rsidR="00F967EE">
        <w:rPr>
          <w:lang w:val="es-CO"/>
        </w:rPr>
        <w:t>Centro</w:t>
      </w:r>
      <w:r w:rsidRPr="00CC391F">
        <w:rPr>
          <w:lang w:val="es-CO"/>
        </w:rPr>
        <w:t xml:space="preserve"> se ha concretado, entre otros, en el diseño y asesoría en la aplicación de un software de registro del ISBN</w:t>
      </w:r>
      <w:r w:rsidR="00F967EE">
        <w:rPr>
          <w:lang w:val="es-CO"/>
        </w:rPr>
        <w:t>,</w:t>
      </w:r>
      <w:r w:rsidRPr="00CC391F">
        <w:rPr>
          <w:lang w:val="es-CO"/>
        </w:rPr>
        <w:t xml:space="preserve"> denominado RISBN 5, instalado en </w:t>
      </w:r>
      <w:r w:rsidR="00F967EE">
        <w:rPr>
          <w:lang w:val="es-CO"/>
        </w:rPr>
        <w:t>diecisiete</w:t>
      </w:r>
      <w:r w:rsidRPr="00CC391F">
        <w:rPr>
          <w:lang w:val="es-CO"/>
        </w:rPr>
        <w:t xml:space="preserve"> países de la región</w:t>
      </w:r>
      <w:r w:rsidR="00F967EE">
        <w:rPr>
          <w:lang w:val="es-CO"/>
        </w:rPr>
        <w:t>,</w:t>
      </w:r>
      <w:r w:rsidRPr="00CC391F">
        <w:rPr>
          <w:lang w:val="es-CO"/>
        </w:rPr>
        <w:t xml:space="preserve"> y en la promoción de la </w:t>
      </w:r>
      <w:r w:rsidRPr="00CC391F">
        <w:rPr>
          <w:lang w:val="es-CO"/>
        </w:rPr>
        <w:lastRenderedPageBreak/>
        <w:t xml:space="preserve">construcción de catálogos nacionales de la oferta editorial como instrumento de interacción entre los diferentes agentes de la cadena de valor del libro en el espacio digital. Teniendo en cuenta que el Sistema RISBN fue desarrollado hace más de </w:t>
      </w:r>
      <w:r w:rsidR="00F967EE">
        <w:rPr>
          <w:lang w:val="es-CO"/>
        </w:rPr>
        <w:t>doce</w:t>
      </w:r>
      <w:r w:rsidRPr="00CC391F">
        <w:rPr>
          <w:lang w:val="es-CO"/>
        </w:rPr>
        <w:t xml:space="preserve"> años</w:t>
      </w:r>
      <w:r w:rsidR="00F967EE">
        <w:rPr>
          <w:lang w:val="es-CO"/>
        </w:rPr>
        <w:t>,</w:t>
      </w:r>
      <w:r w:rsidRPr="00CC391F">
        <w:rPr>
          <w:lang w:val="es-CO"/>
        </w:rPr>
        <w:t xml:space="preserve"> con una estructura y requerimientos diferentes a los actuales, en la Reunión Iberoamericana de Agencias Nacionales del ISBN, realizada en Mar del Plata (Argentina), en mayo de 2014, con asistencia de representantes de quince agencias, se acordó avanzar en acciones dirigidas a la actualización de dicho software, ajustado a los nuevos metadatos (ONIX 3.0) establecidos en los estándares de la Agencia Internacional del ISBN. Para la puesta en marcha de este proyecto, el CERLALC preparó convenios con cada una de las </w:t>
      </w:r>
      <w:r w:rsidR="00F967EE">
        <w:rPr>
          <w:lang w:val="es-CO"/>
        </w:rPr>
        <w:t>diecisiete</w:t>
      </w:r>
      <w:r w:rsidRPr="00CC391F">
        <w:rPr>
          <w:lang w:val="es-CO"/>
        </w:rPr>
        <w:t xml:space="preserve"> </w:t>
      </w:r>
      <w:r w:rsidR="00F967EE">
        <w:rPr>
          <w:lang w:val="es-CO"/>
        </w:rPr>
        <w:t>a</w:t>
      </w:r>
      <w:r w:rsidRPr="00CC391F">
        <w:rPr>
          <w:lang w:val="es-CO"/>
        </w:rPr>
        <w:t xml:space="preserve">gencias que usan el sistema actualmente, en </w:t>
      </w:r>
      <w:r w:rsidR="00F967EE">
        <w:rPr>
          <w:lang w:val="es-CO"/>
        </w:rPr>
        <w:t>los</w:t>
      </w:r>
      <w:r w:rsidRPr="00CC391F">
        <w:rPr>
          <w:lang w:val="es-CO"/>
        </w:rPr>
        <w:t xml:space="preserve"> que se detallan los cambios que se realizarán al software y </w:t>
      </w:r>
      <w:r w:rsidR="00CA4E82">
        <w:rPr>
          <w:lang w:val="es-CO"/>
        </w:rPr>
        <w:t xml:space="preserve">se determina </w:t>
      </w:r>
      <w:r w:rsidR="00F967EE">
        <w:rPr>
          <w:lang w:val="es-CO"/>
        </w:rPr>
        <w:t>el aporte proporcional que debe hacer cada país para financiar su actualización</w:t>
      </w:r>
      <w:r w:rsidRPr="00CC391F">
        <w:rPr>
          <w:lang w:val="es-CO"/>
        </w:rPr>
        <w:t xml:space="preserve">, </w:t>
      </w:r>
      <w:r w:rsidR="00CA4E82">
        <w:rPr>
          <w:lang w:val="es-CO"/>
        </w:rPr>
        <w:t>atendiendo a</w:t>
      </w:r>
      <w:r w:rsidRPr="00CC391F">
        <w:rPr>
          <w:lang w:val="es-CO"/>
        </w:rPr>
        <w:t xml:space="preserve"> lo aprobado en la reunión de Mar del Plata. A la fecha</w:t>
      </w:r>
      <w:r w:rsidR="00CA4E82">
        <w:rPr>
          <w:lang w:val="es-CO"/>
        </w:rPr>
        <w:t>,</w:t>
      </w:r>
      <w:r w:rsidRPr="00CC391F">
        <w:rPr>
          <w:lang w:val="es-CO"/>
        </w:rPr>
        <w:t xml:space="preserve"> se han celebrado convenios con seis países de la región y se ha dado inicio a las actividades de actualización del software, con el concurso de recursos de la cooperación internacional (AECID) y de las agencias nacionales del ISBN</w:t>
      </w:r>
      <w:r w:rsidR="00CA4E82">
        <w:rPr>
          <w:lang w:val="es-CO"/>
        </w:rPr>
        <w:t xml:space="preserve"> que ya han hecho su aporte</w:t>
      </w:r>
      <w:r w:rsidRPr="00CC391F">
        <w:rPr>
          <w:lang w:val="es-CO"/>
        </w:rPr>
        <w:t>.</w:t>
      </w:r>
    </w:p>
    <w:p w:rsidR="004A2162" w:rsidRPr="00F87EF1" w:rsidRDefault="004A2162" w:rsidP="00F967EE">
      <w:pPr>
        <w:rPr>
          <w:lang w:val="es-CO"/>
        </w:rPr>
      </w:pPr>
      <w:r w:rsidRPr="00B94CF5">
        <w:rPr>
          <w:lang w:val="es-CO"/>
        </w:rPr>
        <w:t>El proyecto para 2016 es desarrollar e implementar una nueva versión del software para la administración de ISBN (RISBN 5.3), que incorpora nuevas funcionalidades y abre la posibilidad de construir</w:t>
      </w:r>
      <w:r w:rsidR="00CA4E82">
        <w:rPr>
          <w:lang w:val="es-CO"/>
        </w:rPr>
        <w:t xml:space="preserve"> </w:t>
      </w:r>
      <w:r w:rsidRPr="00B94CF5">
        <w:rPr>
          <w:lang w:val="es-CO"/>
        </w:rPr>
        <w:t xml:space="preserve">los catálogos nacionales de la oferta editorial. Se continuará </w:t>
      </w:r>
      <w:r w:rsidR="00CA4E82">
        <w:rPr>
          <w:lang w:val="es-CO"/>
        </w:rPr>
        <w:t>con</w:t>
      </w:r>
      <w:r w:rsidRPr="00B94CF5">
        <w:rPr>
          <w:lang w:val="es-CO"/>
        </w:rPr>
        <w:t xml:space="preserve"> la actividad de</w:t>
      </w:r>
      <w:r w:rsidR="00CA4E82">
        <w:rPr>
          <w:lang w:val="es-CO"/>
        </w:rPr>
        <w:t xml:space="preserve"> brindar</w:t>
      </w:r>
      <w:r w:rsidRPr="00B94CF5">
        <w:rPr>
          <w:lang w:val="es-CO"/>
        </w:rPr>
        <w:t xml:space="preserve"> asistencia técnica a los países miembros</w:t>
      </w:r>
      <w:r w:rsidR="00CA4E82">
        <w:rPr>
          <w:lang w:val="es-CO"/>
        </w:rPr>
        <w:t xml:space="preserve"> </w:t>
      </w:r>
      <w:r w:rsidRPr="00B94CF5">
        <w:rPr>
          <w:lang w:val="es-CO"/>
        </w:rPr>
        <w:t>en el manejo del sistema ISBN y de otros identificadores.</w:t>
      </w:r>
      <w:r>
        <w:rPr>
          <w:lang w:val="es-CO"/>
        </w:rPr>
        <w:t xml:space="preserve"> </w:t>
      </w:r>
    </w:p>
    <w:p w:rsidR="00F967EE" w:rsidRDefault="004A2162" w:rsidP="00CA4E82">
      <w:pPr>
        <w:pStyle w:val="Ttulo3"/>
        <w:rPr>
          <w:lang w:val="es-CO"/>
        </w:rPr>
      </w:pPr>
      <w:bookmarkStart w:id="29" w:name="_Toc446949080"/>
      <w:bookmarkStart w:id="30" w:name="_Toc446949152"/>
      <w:bookmarkStart w:id="31" w:name="_Toc446953648"/>
      <w:r w:rsidRPr="00F967EE">
        <w:rPr>
          <w:lang w:val="es-CO"/>
        </w:rPr>
        <w:t>Catálogos nacionales de la oferta editorial</w:t>
      </w:r>
      <w:bookmarkEnd w:id="29"/>
      <w:bookmarkEnd w:id="30"/>
      <w:bookmarkEnd w:id="31"/>
    </w:p>
    <w:p w:rsidR="004A2162" w:rsidRPr="00F967EE" w:rsidRDefault="004A2162" w:rsidP="00CA4E82">
      <w:pPr>
        <w:rPr>
          <w:lang w:val="es-CO"/>
        </w:rPr>
      </w:pPr>
      <w:r w:rsidRPr="00F967EE">
        <w:rPr>
          <w:lang w:val="es-CO"/>
        </w:rPr>
        <w:t xml:space="preserve">A partir de la actualización del software de registro del ISBN, el CERLALC impulsará con los ministerios de cultura y educación, las agremiaciones del sector y las agencias nacionales del ISBN, la conformación de los catálogos nacionales </w:t>
      </w:r>
      <w:r w:rsidR="00CA4E82">
        <w:rPr>
          <w:lang w:val="es-CO"/>
        </w:rPr>
        <w:t>de la oferta editorial</w:t>
      </w:r>
      <w:r w:rsidRPr="00F967EE">
        <w:rPr>
          <w:lang w:val="es-CO"/>
        </w:rPr>
        <w:t xml:space="preserve"> de cada uno de los países. Esta es una actividad estratégica </w:t>
      </w:r>
      <w:r w:rsidR="00CA4E82">
        <w:rPr>
          <w:lang w:val="es-CO"/>
        </w:rPr>
        <w:t>para</w:t>
      </w:r>
      <w:r w:rsidRPr="00F967EE">
        <w:rPr>
          <w:lang w:val="es-CO"/>
        </w:rPr>
        <w:t xml:space="preserve"> el fortalecimiento de la circulación regional del libro, que permitirá </w:t>
      </w:r>
      <w:r w:rsidRPr="00F967EE">
        <w:rPr>
          <w:lang w:val="es-CO"/>
        </w:rPr>
        <w:lastRenderedPageBreak/>
        <w:t>incrementar la visibilidad de la producción editorial en el entorno digital.</w:t>
      </w:r>
    </w:p>
    <w:p w:rsidR="004A2162" w:rsidRPr="00F967EE" w:rsidRDefault="004A2162" w:rsidP="00CA4E82">
      <w:pPr>
        <w:rPr>
          <w:lang w:val="es-CO"/>
        </w:rPr>
      </w:pPr>
      <w:r w:rsidRPr="00F967EE">
        <w:rPr>
          <w:lang w:val="es-CO"/>
        </w:rPr>
        <w:t>El avance</w:t>
      </w:r>
      <w:r w:rsidR="00CA4E82">
        <w:rPr>
          <w:lang w:val="es-CO"/>
        </w:rPr>
        <w:t xml:space="preserve"> de</w:t>
      </w:r>
      <w:r w:rsidRPr="00F967EE">
        <w:rPr>
          <w:lang w:val="es-CO"/>
        </w:rPr>
        <w:t xml:space="preserve"> ambos trabajos será puesto a consideración de los países, durante la reunión de agencias nacionales del ISBN, que se realizará en Guatemala, en el último trimestre de 2016</w:t>
      </w:r>
    </w:p>
    <w:p w:rsidR="00CA4E82" w:rsidRDefault="004A2162" w:rsidP="009A6C8F">
      <w:pPr>
        <w:pStyle w:val="Ttulo2"/>
      </w:pPr>
      <w:bookmarkStart w:id="32" w:name="_Toc446953649"/>
      <w:r w:rsidRPr="00604753">
        <w:t>Observatorios</w:t>
      </w:r>
      <w:bookmarkEnd w:id="32"/>
      <w:r w:rsidRPr="00604753">
        <w:t xml:space="preserve"> </w:t>
      </w:r>
    </w:p>
    <w:p w:rsidR="00CA4E82" w:rsidRDefault="004A2162" w:rsidP="003B365E">
      <w:pPr>
        <w:ind w:left="2268"/>
        <w:contextualSpacing/>
        <w:rPr>
          <w:sz w:val="23"/>
          <w:szCs w:val="23"/>
          <w:lang w:val="es-CO"/>
        </w:rPr>
      </w:pPr>
      <w:r w:rsidRPr="003B365E">
        <w:rPr>
          <w:sz w:val="23"/>
          <w:szCs w:val="23"/>
          <w:lang w:val="es-CO"/>
        </w:rPr>
        <w:t xml:space="preserve">Se está consolidando un nuevo modo de producción del conocimiento, donde la identificación de problemas y la investigación para su solución se hacen a través de una compleja interacción entre especialistas y otros actores organizados en redes de colaboración. Este modo de producción del conocimiento, socialmente distribuido, es facilitado por las TIC que propician una inteligencia colectiva, concepto que enfatiza el hecho de que </w:t>
      </w:r>
      <w:r w:rsidRPr="003B365E">
        <w:rPr>
          <w:i/>
          <w:sz w:val="23"/>
          <w:szCs w:val="23"/>
          <w:lang w:val="es-CO"/>
        </w:rPr>
        <w:t>nadie sabe todo y todos saben algo</w:t>
      </w:r>
      <w:r w:rsidRPr="003B365E">
        <w:rPr>
          <w:sz w:val="23"/>
          <w:szCs w:val="23"/>
          <w:lang w:val="es-CO"/>
        </w:rPr>
        <w:t xml:space="preserve">. </w:t>
      </w:r>
    </w:p>
    <w:p w:rsidR="003B365E" w:rsidRDefault="003B365E" w:rsidP="003B365E">
      <w:pPr>
        <w:ind w:left="2268"/>
        <w:contextualSpacing/>
        <w:jc w:val="right"/>
        <w:rPr>
          <w:b/>
          <w:sz w:val="23"/>
          <w:szCs w:val="23"/>
          <w:lang w:val="es-CO"/>
        </w:rPr>
      </w:pPr>
      <w:r w:rsidRPr="003B365E">
        <w:rPr>
          <w:sz w:val="23"/>
          <w:szCs w:val="23"/>
          <w:lang w:val="es-CO"/>
        </w:rPr>
        <w:t>Noel Angulo M</w:t>
      </w:r>
      <w:r w:rsidRPr="003B365E">
        <w:rPr>
          <w:rStyle w:val="Refdenotaalpie"/>
          <w:sz w:val="23"/>
          <w:szCs w:val="23"/>
          <w:lang w:val="es-CO"/>
        </w:rPr>
        <w:footnoteReference w:id="1"/>
      </w:r>
      <w:r>
        <w:rPr>
          <w:b/>
          <w:sz w:val="23"/>
          <w:szCs w:val="23"/>
          <w:lang w:val="es-CO"/>
        </w:rPr>
        <w:t>.</w:t>
      </w:r>
    </w:p>
    <w:p w:rsidR="003B365E" w:rsidRDefault="003B365E" w:rsidP="003B365E">
      <w:pPr>
        <w:rPr>
          <w:lang w:val="es-CO"/>
        </w:rPr>
      </w:pPr>
    </w:p>
    <w:p w:rsidR="004A2162" w:rsidRDefault="003B365E" w:rsidP="003B365E">
      <w:pPr>
        <w:rPr>
          <w:lang w:val="es-CO"/>
        </w:rPr>
      </w:pPr>
      <w:r>
        <w:rPr>
          <w:lang w:val="es-CO"/>
        </w:rPr>
        <w:t xml:space="preserve">Este epígrafe </w:t>
      </w:r>
      <w:r w:rsidR="00854386">
        <w:rPr>
          <w:lang w:val="es-CO"/>
        </w:rPr>
        <w:t>recoge</w:t>
      </w:r>
      <w:r w:rsidR="004A2162" w:rsidRPr="0004006F">
        <w:rPr>
          <w:lang w:val="es-CO"/>
        </w:rPr>
        <w:t xml:space="preserve"> el espíritu que anima esta primera propuesta: el de conjuntar buena parte de lo que el CERLALC ha hecho, está haciendo y tiene por hacer en instrumentos útiles para la comunidad del libro y la lectura en Iberoamérica. En ese contexto, la pro</w:t>
      </w:r>
      <w:r>
        <w:rPr>
          <w:lang w:val="es-CO"/>
        </w:rPr>
        <w:t>puesta es la de organizar tres o</w:t>
      </w:r>
      <w:r w:rsidR="004A2162" w:rsidRPr="0004006F">
        <w:rPr>
          <w:lang w:val="es-CO"/>
        </w:rPr>
        <w:t xml:space="preserve">bservatorios especializados en temas del sector, que complementarán los esfuerzos que realizan algunos países de la región en la misma dirección y podrán servir de eficaces herramientas a los países que aún no </w:t>
      </w:r>
      <w:r>
        <w:rPr>
          <w:lang w:val="es-CO"/>
        </w:rPr>
        <w:t>las tienen</w:t>
      </w:r>
      <w:r w:rsidR="004A2162" w:rsidRPr="0004006F">
        <w:rPr>
          <w:lang w:val="es-CO"/>
        </w:rPr>
        <w:t>. Un primer paso es volver atrás y centralizar, de manera armoniosa, la multiplicidad de documentos, cifras, testimonios y acciones que el CERLALC ha construido y ayudado a construir</w:t>
      </w:r>
      <w:r w:rsidRPr="003B365E">
        <w:rPr>
          <w:lang w:val="es-CO"/>
        </w:rPr>
        <w:t xml:space="preserve"> </w:t>
      </w:r>
      <w:r w:rsidRPr="0004006F">
        <w:rPr>
          <w:lang w:val="es-CO"/>
        </w:rPr>
        <w:t xml:space="preserve">en cada una de </w:t>
      </w:r>
      <w:r>
        <w:rPr>
          <w:lang w:val="es-CO"/>
        </w:rPr>
        <w:t>sus</w:t>
      </w:r>
      <w:r w:rsidRPr="0004006F">
        <w:rPr>
          <w:lang w:val="es-CO"/>
        </w:rPr>
        <w:t xml:space="preserve"> áreas misionales</w:t>
      </w:r>
      <w:r w:rsidR="004A2162" w:rsidRPr="0004006F">
        <w:rPr>
          <w:lang w:val="es-CO"/>
        </w:rPr>
        <w:t xml:space="preserve">. </w:t>
      </w:r>
      <w:r w:rsidR="004A2162">
        <w:rPr>
          <w:lang w:val="es-CO"/>
        </w:rPr>
        <w:t xml:space="preserve">Los </w:t>
      </w:r>
      <w:r>
        <w:rPr>
          <w:lang w:val="es-CO"/>
        </w:rPr>
        <w:lastRenderedPageBreak/>
        <w:t>o</w:t>
      </w:r>
      <w:r w:rsidR="004A2162">
        <w:rPr>
          <w:lang w:val="es-CO"/>
        </w:rPr>
        <w:t xml:space="preserve">bservatorios se constituirán en una herramienta de indudable utilidad para la </w:t>
      </w:r>
      <w:r w:rsidR="008B6C97">
        <w:rPr>
          <w:lang w:val="es-CO"/>
        </w:rPr>
        <w:t>formulación</w:t>
      </w:r>
      <w:r w:rsidR="004A2162">
        <w:rPr>
          <w:lang w:val="es-CO"/>
        </w:rPr>
        <w:t xml:space="preserve"> y el seguimiento de las políticas públicas en el campo del libro, la lectura y las bibliotecas. La identificación de las mejores prácticas, la disposición ordenada del cuerpo normativo relacionado con el sector, un banco de datos estadísticos actualizado, la agregación de los múltiples documentos que se han trabajado en la región y en el mundo sobre los diferentes temas y la apertura de espacios de interactividad y opinión le</w:t>
      </w:r>
      <w:r w:rsidR="00152AB3">
        <w:rPr>
          <w:lang w:val="es-CO"/>
        </w:rPr>
        <w:t>s</w:t>
      </w:r>
      <w:r w:rsidR="004A2162">
        <w:rPr>
          <w:lang w:val="es-CO"/>
        </w:rPr>
        <w:t xml:space="preserve"> darán a los </w:t>
      </w:r>
      <w:r w:rsidR="00152AB3">
        <w:rPr>
          <w:lang w:val="es-CO"/>
        </w:rPr>
        <w:t>o</w:t>
      </w:r>
      <w:r w:rsidR="004A2162">
        <w:rPr>
          <w:lang w:val="es-CO"/>
        </w:rPr>
        <w:t>bservatorios la dimensión que la coyuntura actual demanda para fortalecer el papel del CERLALC como centro de pensamiento, correa de transmisión y eficaz socio de los países que lo conforman.</w:t>
      </w:r>
    </w:p>
    <w:p w:rsidR="004A2162" w:rsidRPr="0004006F" w:rsidRDefault="00152AB3" w:rsidP="00CA4E82">
      <w:pPr>
        <w:rPr>
          <w:lang w:val="es-CO"/>
        </w:rPr>
      </w:pPr>
      <w:r>
        <w:rPr>
          <w:lang w:val="es-CO"/>
        </w:rPr>
        <w:t>Los o</w:t>
      </w:r>
      <w:r w:rsidR="004A2162" w:rsidRPr="0004006F">
        <w:rPr>
          <w:lang w:val="es-CO"/>
        </w:rPr>
        <w:t xml:space="preserve">bservatorios propuestos </w:t>
      </w:r>
      <w:r w:rsidR="004A2162">
        <w:rPr>
          <w:lang w:val="es-CO"/>
        </w:rPr>
        <w:t xml:space="preserve">y las temáticas en las que se centrará su trabajo </w:t>
      </w:r>
      <w:r w:rsidR="004A2162" w:rsidRPr="0004006F">
        <w:rPr>
          <w:lang w:val="es-CO"/>
        </w:rPr>
        <w:t>son</w:t>
      </w:r>
      <w:r>
        <w:rPr>
          <w:lang w:val="es-CO"/>
        </w:rPr>
        <w:t>:</w:t>
      </w:r>
    </w:p>
    <w:p w:rsidR="004A2162" w:rsidRPr="00152AB3" w:rsidRDefault="004A2162" w:rsidP="00152AB3">
      <w:pPr>
        <w:pStyle w:val="Ttulo3"/>
        <w:rPr>
          <w:lang w:val="es-CO"/>
        </w:rPr>
      </w:pPr>
      <w:bookmarkStart w:id="33" w:name="_Toc446949082"/>
      <w:bookmarkStart w:id="34" w:name="_Toc446949154"/>
      <w:bookmarkStart w:id="35" w:name="_Toc446953650"/>
      <w:r w:rsidRPr="00152AB3">
        <w:rPr>
          <w:lang w:val="es-CO"/>
        </w:rPr>
        <w:t>Observatorio del libro, la lectura y las bibliotecas</w:t>
      </w:r>
      <w:bookmarkEnd w:id="33"/>
      <w:bookmarkEnd w:id="34"/>
      <w:bookmarkEnd w:id="35"/>
      <w:r w:rsidRPr="00152AB3">
        <w:rPr>
          <w:lang w:val="es-CO"/>
        </w:rPr>
        <w:t xml:space="preserve"> </w:t>
      </w:r>
    </w:p>
    <w:p w:rsidR="004A2162" w:rsidRPr="009A6C8F" w:rsidRDefault="004A2162" w:rsidP="00152AB3">
      <w:pPr>
        <w:pStyle w:val="Listavistosa-nfasis1"/>
        <w:numPr>
          <w:ilvl w:val="0"/>
          <w:numId w:val="35"/>
        </w:numPr>
        <w:ind w:left="284" w:hanging="284"/>
        <w:rPr>
          <w:lang w:val="es-ES"/>
        </w:rPr>
      </w:pPr>
      <w:r w:rsidRPr="009A6C8F">
        <w:rPr>
          <w:lang w:val="es-ES"/>
        </w:rPr>
        <w:t>Políticas nacionales del libro y de la lectura</w:t>
      </w:r>
      <w:r w:rsidR="00152AB3" w:rsidRPr="009A6C8F">
        <w:rPr>
          <w:lang w:val="es-ES"/>
        </w:rPr>
        <w:t>.</w:t>
      </w:r>
    </w:p>
    <w:p w:rsidR="004A2162" w:rsidRPr="009A6C8F" w:rsidRDefault="004A2162" w:rsidP="00152AB3">
      <w:pPr>
        <w:pStyle w:val="Listavistosa-nfasis1"/>
        <w:numPr>
          <w:ilvl w:val="0"/>
          <w:numId w:val="35"/>
        </w:numPr>
        <w:ind w:left="284" w:hanging="284"/>
        <w:rPr>
          <w:lang w:val="es-ES"/>
        </w:rPr>
      </w:pPr>
      <w:r w:rsidRPr="009A6C8F">
        <w:rPr>
          <w:lang w:val="es-ES"/>
        </w:rPr>
        <w:t>Planes nacionales de fomento del libro y de la lectura</w:t>
      </w:r>
      <w:r w:rsidR="00152AB3" w:rsidRPr="009A6C8F">
        <w:rPr>
          <w:lang w:val="es-ES"/>
        </w:rPr>
        <w:t>.</w:t>
      </w:r>
    </w:p>
    <w:p w:rsidR="004A2162" w:rsidRPr="00152AB3" w:rsidRDefault="004A2162" w:rsidP="00152AB3">
      <w:pPr>
        <w:pStyle w:val="Listavistosa-nfasis1"/>
        <w:numPr>
          <w:ilvl w:val="0"/>
          <w:numId w:val="35"/>
        </w:numPr>
        <w:ind w:left="284" w:hanging="284"/>
      </w:pPr>
      <w:r w:rsidRPr="00152AB3">
        <w:t>Medición del comportamiento lector</w:t>
      </w:r>
      <w:r w:rsidR="00152AB3" w:rsidRPr="00152AB3">
        <w:t>.</w:t>
      </w:r>
    </w:p>
    <w:p w:rsidR="004A2162" w:rsidRPr="00152AB3" w:rsidRDefault="004A2162" w:rsidP="00152AB3">
      <w:pPr>
        <w:pStyle w:val="Listavistosa-nfasis1"/>
        <w:numPr>
          <w:ilvl w:val="0"/>
          <w:numId w:val="35"/>
        </w:numPr>
        <w:ind w:left="284" w:hanging="284"/>
      </w:pPr>
      <w:r w:rsidRPr="00152AB3">
        <w:t>Bibliotecas públicas y escolares</w:t>
      </w:r>
      <w:r w:rsidR="00152AB3" w:rsidRPr="00152AB3">
        <w:t>.</w:t>
      </w:r>
    </w:p>
    <w:p w:rsidR="004A2162" w:rsidRPr="009A6C8F" w:rsidRDefault="004A2162" w:rsidP="00152AB3">
      <w:pPr>
        <w:pStyle w:val="Listavistosa-nfasis1"/>
        <w:numPr>
          <w:ilvl w:val="0"/>
          <w:numId w:val="35"/>
        </w:numPr>
        <w:ind w:left="284" w:hanging="284"/>
        <w:rPr>
          <w:lang w:val="es-ES"/>
        </w:rPr>
      </w:pPr>
      <w:r w:rsidRPr="009A6C8F">
        <w:rPr>
          <w:lang w:val="es-ES"/>
        </w:rPr>
        <w:t>Normativa relacionada con libro, lectura y bibliotecas</w:t>
      </w:r>
      <w:r w:rsidR="00152AB3" w:rsidRPr="009A6C8F">
        <w:rPr>
          <w:lang w:val="es-ES"/>
        </w:rPr>
        <w:t>.</w:t>
      </w:r>
    </w:p>
    <w:p w:rsidR="004A2162" w:rsidRPr="009A6C8F" w:rsidRDefault="004A2162" w:rsidP="00152AB3">
      <w:pPr>
        <w:pStyle w:val="Listavistosa-nfasis1"/>
        <w:numPr>
          <w:ilvl w:val="0"/>
          <w:numId w:val="35"/>
        </w:numPr>
        <w:ind w:left="284" w:hanging="284"/>
        <w:rPr>
          <w:lang w:val="es-ES"/>
        </w:rPr>
      </w:pPr>
      <w:r w:rsidRPr="009A6C8F">
        <w:rPr>
          <w:lang w:val="es-ES"/>
        </w:rPr>
        <w:t>Producción y circulación de contenidos editoriales (investigaciones e información estadística)</w:t>
      </w:r>
      <w:r w:rsidR="00152AB3" w:rsidRPr="009A6C8F">
        <w:rPr>
          <w:lang w:val="es-ES"/>
        </w:rPr>
        <w:t>.</w:t>
      </w:r>
    </w:p>
    <w:p w:rsidR="004A2162" w:rsidRPr="009A6C8F" w:rsidRDefault="004A2162" w:rsidP="00152AB3">
      <w:pPr>
        <w:pStyle w:val="Listavistosa-nfasis1"/>
        <w:numPr>
          <w:ilvl w:val="0"/>
          <w:numId w:val="35"/>
        </w:numPr>
        <w:ind w:left="284" w:hanging="284"/>
        <w:rPr>
          <w:lang w:val="es-ES"/>
        </w:rPr>
      </w:pPr>
      <w:r w:rsidRPr="009A6C8F">
        <w:rPr>
          <w:lang w:val="es-ES"/>
        </w:rPr>
        <w:t xml:space="preserve">Radar: </w:t>
      </w:r>
      <w:r w:rsidR="00152AB3" w:rsidRPr="009A6C8F">
        <w:rPr>
          <w:lang w:val="es-ES"/>
        </w:rPr>
        <w:t>n</w:t>
      </w:r>
      <w:r w:rsidRPr="009A6C8F">
        <w:rPr>
          <w:lang w:val="es-ES"/>
        </w:rPr>
        <w:t>uevas tecnologías y tendencias</w:t>
      </w:r>
      <w:r w:rsidR="00152AB3" w:rsidRPr="009A6C8F">
        <w:rPr>
          <w:lang w:val="es-ES"/>
        </w:rPr>
        <w:t>.</w:t>
      </w:r>
    </w:p>
    <w:p w:rsidR="004A2162" w:rsidRPr="009A6C8F" w:rsidRDefault="004A2162" w:rsidP="00152AB3">
      <w:pPr>
        <w:pStyle w:val="Listavistosa-nfasis1"/>
        <w:numPr>
          <w:ilvl w:val="0"/>
          <w:numId w:val="35"/>
        </w:numPr>
        <w:ind w:left="284" w:hanging="284"/>
        <w:rPr>
          <w:lang w:val="es-ES"/>
        </w:rPr>
      </w:pPr>
      <w:r w:rsidRPr="009A6C8F">
        <w:rPr>
          <w:lang w:val="es-ES"/>
        </w:rPr>
        <w:t>Buenas prácticas en el campo del libro, la lectura y las bibliotecas</w:t>
      </w:r>
      <w:r w:rsidR="00152AB3" w:rsidRPr="009A6C8F">
        <w:rPr>
          <w:lang w:val="es-ES"/>
        </w:rPr>
        <w:t>.</w:t>
      </w:r>
    </w:p>
    <w:p w:rsidR="004A2162" w:rsidRPr="009A6C8F" w:rsidRDefault="004A2162" w:rsidP="00152AB3">
      <w:pPr>
        <w:pStyle w:val="Listavistosa-nfasis1"/>
        <w:numPr>
          <w:ilvl w:val="0"/>
          <w:numId w:val="35"/>
        </w:numPr>
        <w:ind w:left="284" w:hanging="284"/>
        <w:rPr>
          <w:lang w:val="es-ES"/>
        </w:rPr>
      </w:pPr>
      <w:r w:rsidRPr="009A6C8F">
        <w:rPr>
          <w:lang w:val="es-ES"/>
        </w:rPr>
        <w:t>Información socioeconómica de los países de la región (demográfica, educativa, etc.)</w:t>
      </w:r>
      <w:r w:rsidR="00152AB3" w:rsidRPr="009A6C8F">
        <w:rPr>
          <w:lang w:val="es-ES"/>
        </w:rPr>
        <w:t>.</w:t>
      </w:r>
    </w:p>
    <w:p w:rsidR="004A2162" w:rsidRPr="00152AB3" w:rsidRDefault="004A2162" w:rsidP="00152AB3">
      <w:pPr>
        <w:pStyle w:val="Listavistosa-nfasis1"/>
        <w:numPr>
          <w:ilvl w:val="0"/>
          <w:numId w:val="35"/>
        </w:numPr>
        <w:ind w:left="284" w:hanging="284"/>
      </w:pPr>
      <w:r w:rsidRPr="00152AB3">
        <w:t>Foros de opinión</w:t>
      </w:r>
      <w:r w:rsidR="00152AB3" w:rsidRPr="00152AB3">
        <w:t>.</w:t>
      </w:r>
    </w:p>
    <w:p w:rsidR="004A2162" w:rsidRPr="00152AB3" w:rsidRDefault="004A2162" w:rsidP="00152AB3">
      <w:pPr>
        <w:pStyle w:val="Listavistosa-nfasis1"/>
        <w:numPr>
          <w:ilvl w:val="0"/>
          <w:numId w:val="35"/>
        </w:numPr>
        <w:ind w:left="284" w:hanging="284"/>
      </w:pPr>
      <w:r w:rsidRPr="00152AB3">
        <w:t>Recursos</w:t>
      </w:r>
      <w:r w:rsidR="00152AB3" w:rsidRPr="00152AB3">
        <w:t>.</w:t>
      </w:r>
    </w:p>
    <w:p w:rsidR="004A2162" w:rsidRPr="00152AB3" w:rsidRDefault="004A2162" w:rsidP="00152AB3">
      <w:pPr>
        <w:pStyle w:val="Listavistosa-nfasis1"/>
        <w:numPr>
          <w:ilvl w:val="0"/>
          <w:numId w:val="35"/>
        </w:numPr>
        <w:ind w:left="284" w:hanging="284"/>
      </w:pPr>
      <w:r w:rsidRPr="00152AB3">
        <w:t>Eventos</w:t>
      </w:r>
      <w:r w:rsidR="00152AB3" w:rsidRPr="00152AB3">
        <w:t>.</w:t>
      </w:r>
    </w:p>
    <w:p w:rsidR="00152AB3" w:rsidRDefault="004A2162" w:rsidP="00152AB3">
      <w:pPr>
        <w:spacing w:after="160" w:line="360" w:lineRule="auto"/>
        <w:rPr>
          <w:rStyle w:val="Ttulo3Car"/>
          <w:rFonts w:eastAsia="Cambria"/>
          <w:lang w:val="es-CO"/>
        </w:rPr>
      </w:pPr>
      <w:bookmarkStart w:id="36" w:name="_Toc446949083"/>
      <w:bookmarkStart w:id="37" w:name="_Toc446949155"/>
      <w:bookmarkStart w:id="38" w:name="_Toc446953651"/>
      <w:r w:rsidRPr="00152AB3">
        <w:rPr>
          <w:rStyle w:val="Ttulo3Car"/>
          <w:rFonts w:eastAsia="Cambria"/>
          <w:lang w:val="es-CO"/>
        </w:rPr>
        <w:t>Observatorio de la creación y el derecho de autor</w:t>
      </w:r>
      <w:bookmarkEnd w:id="36"/>
      <w:bookmarkEnd w:id="37"/>
      <w:bookmarkEnd w:id="38"/>
    </w:p>
    <w:p w:rsidR="004A2162" w:rsidRPr="00152AB3" w:rsidRDefault="00152AB3" w:rsidP="00152AB3">
      <w:pPr>
        <w:rPr>
          <w:lang w:val="es-CO"/>
        </w:rPr>
      </w:pPr>
      <w:r>
        <w:rPr>
          <w:lang w:val="es-CO"/>
        </w:rPr>
        <w:t>Se buscará fortalecer el o</w:t>
      </w:r>
      <w:r w:rsidR="004A2162" w:rsidRPr="00152AB3">
        <w:rPr>
          <w:lang w:val="es-CO"/>
        </w:rPr>
        <w:t>bservatorio existente (Observatorio Iberoamericano de Derecho de Autor</w:t>
      </w:r>
      <w:r>
        <w:rPr>
          <w:lang w:val="es-CO"/>
        </w:rPr>
        <w:t>,</w:t>
      </w:r>
      <w:r w:rsidR="004A2162" w:rsidRPr="00152AB3">
        <w:rPr>
          <w:lang w:val="es-CO"/>
        </w:rPr>
        <w:t xml:space="preserve"> ODAI) con la incorporación de las acciones que realiza el CERLALC en este campo.</w:t>
      </w:r>
    </w:p>
    <w:p w:rsidR="004A2162" w:rsidRPr="00152AB3" w:rsidRDefault="004A2162" w:rsidP="00152AB3">
      <w:pPr>
        <w:pStyle w:val="Listavistosa-nfasis1"/>
        <w:numPr>
          <w:ilvl w:val="0"/>
          <w:numId w:val="35"/>
        </w:numPr>
        <w:ind w:left="284" w:hanging="284"/>
        <w:rPr>
          <w:lang w:val="es-ES"/>
        </w:rPr>
      </w:pPr>
      <w:r w:rsidRPr="00152AB3">
        <w:rPr>
          <w:lang w:val="es-ES"/>
        </w:rPr>
        <w:lastRenderedPageBreak/>
        <w:t>Normativa sobre derecho de autor</w:t>
      </w:r>
      <w:r w:rsidR="00152AB3" w:rsidRPr="00152AB3">
        <w:rPr>
          <w:lang w:val="es-ES"/>
        </w:rPr>
        <w:t>.</w:t>
      </w:r>
    </w:p>
    <w:p w:rsidR="004A2162" w:rsidRPr="00152AB3" w:rsidRDefault="004A2162" w:rsidP="00152AB3">
      <w:pPr>
        <w:pStyle w:val="Listavistosa-nfasis1"/>
        <w:numPr>
          <w:ilvl w:val="0"/>
          <w:numId w:val="35"/>
        </w:numPr>
        <w:ind w:left="284" w:hanging="284"/>
        <w:rPr>
          <w:lang w:val="es-ES"/>
        </w:rPr>
      </w:pPr>
      <w:r w:rsidRPr="00152AB3">
        <w:rPr>
          <w:lang w:val="es-ES"/>
        </w:rPr>
        <w:t>Base de datos D</w:t>
      </w:r>
      <w:r w:rsidR="00152AB3" w:rsidRPr="00152AB3">
        <w:rPr>
          <w:lang w:val="es-ES"/>
        </w:rPr>
        <w:t>er</w:t>
      </w:r>
      <w:r w:rsidR="00152AB3">
        <w:rPr>
          <w:lang w:val="es-ES"/>
        </w:rPr>
        <w:t>echo de Autor Regional (D</w:t>
      </w:r>
      <w:r w:rsidRPr="00152AB3">
        <w:rPr>
          <w:lang w:val="es-ES"/>
        </w:rPr>
        <w:t>AR</w:t>
      </w:r>
      <w:r w:rsidR="00152AB3">
        <w:rPr>
          <w:lang w:val="es-ES"/>
        </w:rPr>
        <w:t>)</w:t>
      </w:r>
      <w:r w:rsidRPr="00152AB3">
        <w:rPr>
          <w:lang w:val="es-ES"/>
        </w:rPr>
        <w:t xml:space="preserve"> sobre jurisprudencia en materia de derecho de autor</w:t>
      </w:r>
      <w:r w:rsidR="00152AB3">
        <w:rPr>
          <w:lang w:val="es-ES"/>
        </w:rPr>
        <w:t>.</w:t>
      </w:r>
    </w:p>
    <w:p w:rsidR="004A2162" w:rsidRPr="00152AB3" w:rsidRDefault="004A2162" w:rsidP="00152AB3">
      <w:pPr>
        <w:pStyle w:val="Listavistosa-nfasis1"/>
        <w:numPr>
          <w:ilvl w:val="0"/>
          <w:numId w:val="35"/>
        </w:numPr>
        <w:ind w:left="284" w:hanging="284"/>
      </w:pPr>
      <w:r w:rsidRPr="00152AB3">
        <w:t>Información estadística</w:t>
      </w:r>
      <w:r w:rsidR="00152AB3">
        <w:t>.</w:t>
      </w:r>
    </w:p>
    <w:p w:rsidR="004A2162" w:rsidRPr="00152AB3" w:rsidRDefault="004A2162" w:rsidP="00152AB3">
      <w:pPr>
        <w:pStyle w:val="Listavistosa-nfasis1"/>
        <w:numPr>
          <w:ilvl w:val="0"/>
          <w:numId w:val="35"/>
        </w:numPr>
        <w:ind w:left="284" w:hanging="284"/>
      </w:pPr>
      <w:r w:rsidRPr="00152AB3">
        <w:t xml:space="preserve">Foros de </w:t>
      </w:r>
      <w:r w:rsidR="00152AB3">
        <w:t>opinion.</w:t>
      </w:r>
    </w:p>
    <w:p w:rsidR="004A2162" w:rsidRPr="00152AB3" w:rsidRDefault="004A2162" w:rsidP="00152AB3">
      <w:pPr>
        <w:pStyle w:val="Listavistosa-nfasis1"/>
        <w:numPr>
          <w:ilvl w:val="0"/>
          <w:numId w:val="35"/>
        </w:numPr>
        <w:ind w:left="284" w:hanging="284"/>
      </w:pPr>
      <w:r w:rsidRPr="00152AB3">
        <w:t>Recursos</w:t>
      </w:r>
      <w:r w:rsidR="00152AB3">
        <w:t>.</w:t>
      </w:r>
    </w:p>
    <w:p w:rsidR="004A2162" w:rsidRPr="00152AB3" w:rsidRDefault="004A2162" w:rsidP="00152AB3">
      <w:pPr>
        <w:pStyle w:val="Listavistosa-nfasis1"/>
        <w:numPr>
          <w:ilvl w:val="0"/>
          <w:numId w:val="35"/>
        </w:numPr>
        <w:ind w:left="284" w:hanging="284"/>
      </w:pPr>
      <w:r w:rsidRPr="00152AB3">
        <w:t>Eventos</w:t>
      </w:r>
      <w:r w:rsidR="00152AB3">
        <w:t>.</w:t>
      </w:r>
    </w:p>
    <w:p w:rsidR="00152AB3" w:rsidRDefault="004A2162" w:rsidP="00152AB3">
      <w:pPr>
        <w:spacing w:after="160" w:line="360" w:lineRule="auto"/>
        <w:rPr>
          <w:sz w:val="24"/>
          <w:lang w:val="es-CO"/>
        </w:rPr>
      </w:pPr>
      <w:bookmarkStart w:id="39" w:name="_Toc446949084"/>
      <w:bookmarkStart w:id="40" w:name="_Toc446949156"/>
      <w:bookmarkStart w:id="41" w:name="_Toc446953652"/>
      <w:r w:rsidRPr="00152AB3">
        <w:rPr>
          <w:rStyle w:val="Ttulo3Car"/>
          <w:rFonts w:eastAsia="Cambria"/>
          <w:lang w:val="es-CO"/>
        </w:rPr>
        <w:t>Observatorio de cultura y educación en la primera infancia</w:t>
      </w:r>
      <w:bookmarkEnd w:id="39"/>
      <w:bookmarkEnd w:id="40"/>
      <w:bookmarkEnd w:id="41"/>
      <w:r w:rsidRPr="00152AB3">
        <w:rPr>
          <w:sz w:val="24"/>
          <w:lang w:val="es-CO"/>
        </w:rPr>
        <w:t xml:space="preserve"> </w:t>
      </w:r>
    </w:p>
    <w:p w:rsidR="00804D86" w:rsidRPr="0041191B" w:rsidRDefault="00152AB3" w:rsidP="00152AB3">
      <w:pPr>
        <w:rPr>
          <w:lang w:val="es-CO"/>
        </w:rPr>
      </w:pPr>
      <w:r>
        <w:rPr>
          <w:lang w:val="es-CO"/>
        </w:rPr>
        <w:t>L</w:t>
      </w:r>
      <w:r w:rsidR="004A2162" w:rsidRPr="00152AB3">
        <w:rPr>
          <w:lang w:val="es-CO"/>
        </w:rPr>
        <w:t xml:space="preserve">as políticas públicas hacia la primera infancia ocupan hoy un lugar privilegiado en la acción global. Las </w:t>
      </w:r>
      <w:r w:rsidR="00854386">
        <w:rPr>
          <w:lang w:val="es-CO"/>
        </w:rPr>
        <w:t>actividades dirigidas</w:t>
      </w:r>
      <w:r w:rsidR="004A2162" w:rsidRPr="00152AB3">
        <w:rPr>
          <w:lang w:val="es-CO"/>
        </w:rPr>
        <w:t xml:space="preserve"> </w:t>
      </w:r>
      <w:r w:rsidR="00854386">
        <w:rPr>
          <w:lang w:val="es-CO"/>
        </w:rPr>
        <w:t>a</w:t>
      </w:r>
      <w:r w:rsidR="008B6C97">
        <w:rPr>
          <w:lang w:val="es-CO"/>
        </w:rPr>
        <w:t xml:space="preserve"> este grupo poblacional</w:t>
      </w:r>
      <w:r w:rsidR="004A2162" w:rsidRPr="00152AB3">
        <w:rPr>
          <w:lang w:val="es-CO"/>
        </w:rPr>
        <w:t xml:space="preserve"> están en la base del mejoramiento de las condiciones sociales, económicas, educativas y culturales de la población en el mediano plazo. EL CERLALC ha acumulado una importante experiencia en lo relacionado con lectura y escritura en la primera infancia</w:t>
      </w:r>
      <w:r w:rsidR="008B6C97">
        <w:rPr>
          <w:lang w:val="es-CO"/>
        </w:rPr>
        <w:t xml:space="preserve">, </w:t>
      </w:r>
      <w:r w:rsidR="00854386">
        <w:rPr>
          <w:lang w:val="es-CO"/>
        </w:rPr>
        <w:t>particularmente</w:t>
      </w:r>
      <w:r w:rsidR="008B6C97">
        <w:rPr>
          <w:lang w:val="es-CO"/>
        </w:rPr>
        <w:t>,</w:t>
      </w:r>
      <w:r w:rsidR="004A2162" w:rsidRPr="00152AB3">
        <w:rPr>
          <w:lang w:val="es-CO"/>
        </w:rPr>
        <w:t xml:space="preserve"> en asuntos como formación de mediadores y </w:t>
      </w:r>
      <w:r w:rsidR="004A2162" w:rsidRPr="0041191B">
        <w:rPr>
          <w:lang w:val="es-CO"/>
        </w:rPr>
        <w:t xml:space="preserve">trabajo </w:t>
      </w:r>
      <w:r w:rsidR="00854386" w:rsidRPr="0041191B">
        <w:rPr>
          <w:lang w:val="es-CO"/>
        </w:rPr>
        <w:t xml:space="preserve">con </w:t>
      </w:r>
      <w:r w:rsidR="004A2162" w:rsidRPr="0041191B">
        <w:rPr>
          <w:lang w:val="es-CO"/>
        </w:rPr>
        <w:t xml:space="preserve">redes de expertos </w:t>
      </w:r>
      <w:r w:rsidR="008B6C97" w:rsidRPr="0041191B">
        <w:rPr>
          <w:lang w:val="es-CO"/>
        </w:rPr>
        <w:t>para</w:t>
      </w:r>
      <w:r w:rsidR="004A2162" w:rsidRPr="0041191B">
        <w:rPr>
          <w:lang w:val="es-CO"/>
        </w:rPr>
        <w:t xml:space="preserve"> la formulación de recomendaciones de política pública. Un observatorio sobre las acciones en </w:t>
      </w:r>
      <w:r w:rsidR="00854386" w:rsidRPr="0041191B">
        <w:rPr>
          <w:lang w:val="es-CO"/>
        </w:rPr>
        <w:t>los ámbitos</w:t>
      </w:r>
      <w:r w:rsidR="004A2162" w:rsidRPr="0041191B">
        <w:rPr>
          <w:lang w:val="es-CO"/>
        </w:rPr>
        <w:t xml:space="preserve"> de la educación y</w:t>
      </w:r>
      <w:r w:rsidR="00854386" w:rsidRPr="0041191B">
        <w:rPr>
          <w:lang w:val="es-CO"/>
        </w:rPr>
        <w:t xml:space="preserve"> de</w:t>
      </w:r>
      <w:r w:rsidR="004A2162" w:rsidRPr="0041191B">
        <w:rPr>
          <w:lang w:val="es-CO"/>
        </w:rPr>
        <w:t xml:space="preserve"> la cultura en la primera infancia contribuirá al fortalecimiento de las políticas públicas.</w:t>
      </w:r>
      <w:r w:rsidR="008B6C97" w:rsidRPr="0041191B">
        <w:rPr>
          <w:lang w:val="es-CO"/>
        </w:rPr>
        <w:t xml:space="preserve"> </w:t>
      </w:r>
      <w:r w:rsidR="00804D86" w:rsidRPr="0041191B">
        <w:rPr>
          <w:lang w:val="es-CO"/>
        </w:rPr>
        <w:t>El comité de expertos que se ha conformado sobre el tema</w:t>
      </w:r>
      <w:r w:rsidR="00B12087" w:rsidRPr="0041191B">
        <w:rPr>
          <w:lang w:val="es-CO"/>
        </w:rPr>
        <w:t xml:space="preserve">, del que hacen parte María Emilia López (Argentina);  Patricia Pereira Leite (Brasil); Evelio Cabrejo (Colombia); Yolanda Reyes (Colombia), y Eva Janovitz (México) </w:t>
      </w:r>
      <w:r w:rsidR="00804D86" w:rsidRPr="0041191B">
        <w:rPr>
          <w:lang w:val="es-CO"/>
        </w:rPr>
        <w:t>definirá</w:t>
      </w:r>
      <w:r w:rsidR="00B12087" w:rsidRPr="0041191B">
        <w:rPr>
          <w:lang w:val="es-CO"/>
        </w:rPr>
        <w:t>,</w:t>
      </w:r>
      <w:r w:rsidR="00804D86" w:rsidRPr="0041191B">
        <w:rPr>
          <w:lang w:val="es-CO"/>
        </w:rPr>
        <w:t xml:space="preserve"> en el corto plazo, el nombre definitivo y delineará los ámbitos de acción del Observatorio.</w:t>
      </w:r>
    </w:p>
    <w:p w:rsidR="004A2162" w:rsidRPr="00152AB3" w:rsidRDefault="008B6C97" w:rsidP="00152AB3">
      <w:pPr>
        <w:rPr>
          <w:lang w:val="es-CO"/>
        </w:rPr>
      </w:pPr>
      <w:r w:rsidRPr="0041191B">
        <w:rPr>
          <w:lang w:val="es-CO"/>
        </w:rPr>
        <w:t>Éste contará, entre otras cosas, con:</w:t>
      </w:r>
    </w:p>
    <w:p w:rsidR="004A2162" w:rsidRPr="00152AB3" w:rsidRDefault="004A2162" w:rsidP="00152AB3">
      <w:pPr>
        <w:pStyle w:val="Listavistosa-nfasis1"/>
        <w:numPr>
          <w:ilvl w:val="0"/>
          <w:numId w:val="35"/>
        </w:numPr>
        <w:ind w:left="284" w:hanging="284"/>
        <w:rPr>
          <w:lang w:val="es-ES"/>
        </w:rPr>
      </w:pPr>
      <w:r w:rsidRPr="00152AB3">
        <w:rPr>
          <w:lang w:val="es-ES"/>
        </w:rPr>
        <w:t>Banco de datos sobre políticas públicas</w:t>
      </w:r>
      <w:r w:rsidR="00152AB3">
        <w:rPr>
          <w:lang w:val="es-ES"/>
        </w:rPr>
        <w:t>.</w:t>
      </w:r>
    </w:p>
    <w:p w:rsidR="004A2162" w:rsidRPr="00152AB3" w:rsidRDefault="004A2162" w:rsidP="00152AB3">
      <w:pPr>
        <w:pStyle w:val="Listavistosa-nfasis1"/>
        <w:numPr>
          <w:ilvl w:val="0"/>
          <w:numId w:val="35"/>
        </w:numPr>
        <w:ind w:left="284" w:hanging="284"/>
        <w:rPr>
          <w:lang w:val="es-ES"/>
        </w:rPr>
      </w:pPr>
      <w:r w:rsidRPr="00152AB3">
        <w:rPr>
          <w:lang w:val="es-ES"/>
        </w:rPr>
        <w:t>Normativa relacionada</w:t>
      </w:r>
      <w:r w:rsidR="00152AB3">
        <w:rPr>
          <w:lang w:val="es-ES"/>
        </w:rPr>
        <w:t>.</w:t>
      </w:r>
      <w:r w:rsidRPr="00152AB3">
        <w:rPr>
          <w:lang w:val="es-ES"/>
        </w:rPr>
        <w:t xml:space="preserve"> </w:t>
      </w:r>
    </w:p>
    <w:p w:rsidR="004A2162" w:rsidRPr="00152AB3" w:rsidRDefault="004A2162" w:rsidP="00152AB3">
      <w:pPr>
        <w:pStyle w:val="Listavistosa-nfasis1"/>
        <w:numPr>
          <w:ilvl w:val="0"/>
          <w:numId w:val="35"/>
        </w:numPr>
        <w:ind w:left="284" w:hanging="284"/>
        <w:rPr>
          <w:lang w:val="es-ES"/>
        </w:rPr>
      </w:pPr>
      <w:r w:rsidRPr="00152AB3">
        <w:rPr>
          <w:lang w:val="es-ES"/>
        </w:rPr>
        <w:t>Información estadística</w:t>
      </w:r>
      <w:r w:rsidR="00152AB3">
        <w:rPr>
          <w:lang w:val="es-ES"/>
        </w:rPr>
        <w:t>.</w:t>
      </w:r>
    </w:p>
    <w:p w:rsidR="004A2162" w:rsidRPr="00152AB3" w:rsidRDefault="004A2162" w:rsidP="00152AB3">
      <w:pPr>
        <w:pStyle w:val="Listavistosa-nfasis1"/>
        <w:numPr>
          <w:ilvl w:val="0"/>
          <w:numId w:val="35"/>
        </w:numPr>
        <w:ind w:left="284" w:hanging="284"/>
        <w:rPr>
          <w:lang w:val="es-ES"/>
        </w:rPr>
      </w:pPr>
      <w:r w:rsidRPr="00152AB3">
        <w:rPr>
          <w:lang w:val="es-ES"/>
        </w:rPr>
        <w:t>Banco de buenas prácticas</w:t>
      </w:r>
      <w:r w:rsidR="00152AB3">
        <w:rPr>
          <w:lang w:val="es-ES"/>
        </w:rPr>
        <w:t>.</w:t>
      </w:r>
    </w:p>
    <w:p w:rsidR="004A2162" w:rsidRPr="00152AB3" w:rsidRDefault="004A2162" w:rsidP="00152AB3">
      <w:pPr>
        <w:pStyle w:val="Listavistosa-nfasis1"/>
        <w:numPr>
          <w:ilvl w:val="0"/>
          <w:numId w:val="35"/>
        </w:numPr>
        <w:ind w:left="284" w:hanging="284"/>
        <w:rPr>
          <w:lang w:val="es-ES"/>
        </w:rPr>
      </w:pPr>
      <w:r w:rsidRPr="00152AB3">
        <w:rPr>
          <w:lang w:val="es-ES"/>
        </w:rPr>
        <w:t>Recursos</w:t>
      </w:r>
      <w:r w:rsidR="00152AB3">
        <w:rPr>
          <w:lang w:val="es-ES"/>
        </w:rPr>
        <w:t>.</w:t>
      </w:r>
    </w:p>
    <w:p w:rsidR="004A2162" w:rsidRPr="00152AB3" w:rsidRDefault="004A2162" w:rsidP="00152AB3">
      <w:pPr>
        <w:pStyle w:val="Listavistosa-nfasis1"/>
        <w:numPr>
          <w:ilvl w:val="0"/>
          <w:numId w:val="35"/>
        </w:numPr>
        <w:ind w:left="284" w:hanging="284"/>
        <w:rPr>
          <w:lang w:val="es-ES"/>
        </w:rPr>
      </w:pPr>
      <w:r w:rsidRPr="00152AB3">
        <w:rPr>
          <w:lang w:val="es-ES"/>
        </w:rPr>
        <w:t>Foros de opinión</w:t>
      </w:r>
      <w:r w:rsidR="00152AB3">
        <w:rPr>
          <w:lang w:val="es-ES"/>
        </w:rPr>
        <w:t>.</w:t>
      </w:r>
    </w:p>
    <w:p w:rsidR="004A2162" w:rsidRDefault="004A2162" w:rsidP="00152AB3">
      <w:pPr>
        <w:pStyle w:val="Listavistosa-nfasis1"/>
        <w:numPr>
          <w:ilvl w:val="0"/>
          <w:numId w:val="35"/>
        </w:numPr>
        <w:ind w:left="284" w:hanging="284"/>
        <w:rPr>
          <w:lang w:val="es-ES"/>
        </w:rPr>
      </w:pPr>
      <w:r w:rsidRPr="00152AB3">
        <w:rPr>
          <w:lang w:val="es-ES"/>
        </w:rPr>
        <w:t>Eventos</w:t>
      </w:r>
      <w:r w:rsidR="00152AB3">
        <w:rPr>
          <w:lang w:val="es-ES"/>
        </w:rPr>
        <w:t>.</w:t>
      </w:r>
    </w:p>
    <w:p w:rsidR="00854386" w:rsidRPr="00604753" w:rsidRDefault="009A6C8F" w:rsidP="009A6C8F">
      <w:pPr>
        <w:pStyle w:val="Ttulo1"/>
        <w:ind w:left="360"/>
      </w:pPr>
      <w:bookmarkStart w:id="42" w:name="_Toc446953653"/>
      <w:r>
        <w:lastRenderedPageBreak/>
        <w:t xml:space="preserve">2. </w:t>
      </w:r>
      <w:r w:rsidR="00854386" w:rsidRPr="00604753">
        <w:t>Investigación</w:t>
      </w:r>
      <w:bookmarkEnd w:id="42"/>
    </w:p>
    <w:p w:rsidR="00854386" w:rsidRPr="00604753" w:rsidRDefault="00854386" w:rsidP="00854386">
      <w:pPr>
        <w:pStyle w:val="Ttulo2"/>
      </w:pPr>
      <w:bookmarkStart w:id="43" w:name="_Toc446953654"/>
      <w:r w:rsidRPr="00604753">
        <w:t>Índice de Desarrollo Lector</w:t>
      </w:r>
      <w:bookmarkEnd w:id="43"/>
    </w:p>
    <w:p w:rsidR="00854386" w:rsidRDefault="00854386" w:rsidP="00854386">
      <w:pPr>
        <w:rPr>
          <w:lang w:val="es-CO"/>
        </w:rPr>
      </w:pPr>
      <w:r w:rsidRPr="0004006F">
        <w:rPr>
          <w:lang w:val="es-CO"/>
        </w:rPr>
        <w:t>La disponibilidad de información estadística actualizada es un elemento estratégico en la formulación de políticas públicas en el campo del libro y de la lectura. Su valor se acrecienta en la medida en que se disponga de una base de datos de información regional que permita la fijación y comparación de metas y resultados entre los países de la región. Un ejercicio comparativo entre los países en cuanto a la situación coyuntural en las variables relacionadas con el sector será de enorme utilidad para</w:t>
      </w:r>
      <w:r w:rsidR="004B10B8">
        <w:rPr>
          <w:lang w:val="es-CO"/>
        </w:rPr>
        <w:t xml:space="preserve"> los diseñadores de políticas;</w:t>
      </w:r>
      <w:r w:rsidRPr="0004006F">
        <w:rPr>
          <w:lang w:val="es-CO"/>
        </w:rPr>
        <w:t xml:space="preserve"> el </w:t>
      </w:r>
      <w:r w:rsidRPr="004B10B8">
        <w:rPr>
          <w:i/>
          <w:lang w:val="es-CO"/>
        </w:rPr>
        <w:t>benchmarking</w:t>
      </w:r>
      <w:r w:rsidRPr="0004006F">
        <w:rPr>
          <w:lang w:val="es-CO"/>
        </w:rPr>
        <w:t xml:space="preserve"> resultante es</w:t>
      </w:r>
      <w:r w:rsidR="004B10B8">
        <w:rPr>
          <w:lang w:val="es-CO"/>
        </w:rPr>
        <w:t>, además,</w:t>
      </w:r>
      <w:r w:rsidRPr="0004006F">
        <w:rPr>
          <w:lang w:val="es-CO"/>
        </w:rPr>
        <w:t xml:space="preserve"> un evidente impulsor de decisiones en el corto plazo que propendan por el mejoramiento de los indicadores. Los ejempl</w:t>
      </w:r>
      <w:r w:rsidR="008E741B">
        <w:rPr>
          <w:lang w:val="es-CO"/>
        </w:rPr>
        <w:t>os son muchos: las pruebas PISA</w:t>
      </w:r>
      <w:r w:rsidRPr="0004006F">
        <w:rPr>
          <w:lang w:val="es-CO"/>
        </w:rPr>
        <w:t xml:space="preserve"> realizadas por la OECD; los estudios de rendimiento académico adelantados por UNESCO; el Índice de Desarrollo Humano del PNUD; el Índice d</w:t>
      </w:r>
      <w:r w:rsidR="008E741B">
        <w:rPr>
          <w:lang w:val="es-CO"/>
        </w:rPr>
        <w:t>e facilidad para hacer negocios</w:t>
      </w:r>
      <w:r w:rsidRPr="0004006F">
        <w:rPr>
          <w:lang w:val="es-CO"/>
        </w:rPr>
        <w:t xml:space="preserve"> del Banco Mundial; el Índice Global de Competitivi</w:t>
      </w:r>
      <w:r w:rsidR="004B10B8">
        <w:rPr>
          <w:lang w:val="es-CO"/>
        </w:rPr>
        <w:t>dad del Foro Económico Mundial,</w:t>
      </w:r>
      <w:r w:rsidRPr="0004006F">
        <w:rPr>
          <w:lang w:val="es-CO"/>
        </w:rPr>
        <w:t xml:space="preserve"> y el índice Global de Innovación de la OMPI, entre otros. </w:t>
      </w:r>
    </w:p>
    <w:p w:rsidR="00854386" w:rsidRDefault="00854386" w:rsidP="00854386">
      <w:pPr>
        <w:rPr>
          <w:lang w:val="es-CO"/>
        </w:rPr>
      </w:pPr>
      <w:r w:rsidRPr="0004006F">
        <w:rPr>
          <w:lang w:val="es-CO"/>
        </w:rPr>
        <w:t xml:space="preserve">La propuesta </w:t>
      </w:r>
      <w:r w:rsidR="004B10B8">
        <w:rPr>
          <w:lang w:val="es-CO"/>
        </w:rPr>
        <w:t>radica en</w:t>
      </w:r>
      <w:r w:rsidRPr="0004006F">
        <w:rPr>
          <w:lang w:val="es-CO"/>
        </w:rPr>
        <w:t xml:space="preserve"> que el CERLALC avance en una iniciativa planteada tímidamente desde 2014, en cuanto a construir un modelo regional (que podría tornarse global) de indicadores sobre el mundo del libro y la lectura, que sirva para construir una poderosa base de datos con información de fuentes secundarias y establecer una clasificación del desempeño de los países en las variables seleccionadas.</w:t>
      </w:r>
      <w:r>
        <w:rPr>
          <w:lang w:val="es-CO"/>
        </w:rPr>
        <w:t xml:space="preserve"> </w:t>
      </w:r>
    </w:p>
    <w:p w:rsidR="00854386" w:rsidRPr="00245F73" w:rsidRDefault="00854386" w:rsidP="00854386">
      <w:pPr>
        <w:rPr>
          <w:lang w:val="es-CO"/>
        </w:rPr>
      </w:pPr>
      <w:r w:rsidRPr="0004006F">
        <w:rPr>
          <w:lang w:val="es-CO"/>
        </w:rPr>
        <w:t xml:space="preserve">El </w:t>
      </w:r>
      <w:r w:rsidRPr="008E741B">
        <w:rPr>
          <w:lang w:val="es-CO"/>
        </w:rPr>
        <w:t>Índice de Desarrollo Lector</w:t>
      </w:r>
      <w:r w:rsidR="008E741B">
        <w:rPr>
          <w:lang w:val="es-CO"/>
        </w:rPr>
        <w:t xml:space="preserve"> (IDL)</w:t>
      </w:r>
      <w:r w:rsidRPr="008E741B">
        <w:rPr>
          <w:lang w:val="es-CO"/>
        </w:rPr>
        <w:t xml:space="preserve"> </w:t>
      </w:r>
      <w:r w:rsidR="008E741B">
        <w:rPr>
          <w:lang w:val="es-CO"/>
        </w:rPr>
        <w:t>propuesto</w:t>
      </w:r>
      <w:r>
        <w:rPr>
          <w:lang w:val="es-CO"/>
        </w:rPr>
        <w:t xml:space="preserve"> </w:t>
      </w:r>
      <w:r w:rsidRPr="0004006F">
        <w:rPr>
          <w:lang w:val="es-CO"/>
        </w:rPr>
        <w:t xml:space="preserve">busca medir el grado de avance de los países en las variables relacionadas con la lectura y el libro. </w:t>
      </w:r>
      <w:r>
        <w:rPr>
          <w:lang w:val="es-CO"/>
        </w:rPr>
        <w:t xml:space="preserve">En una </w:t>
      </w:r>
      <w:r w:rsidRPr="00245F73">
        <w:rPr>
          <w:lang w:val="es-CO"/>
        </w:rPr>
        <w:t>primera etapa</w:t>
      </w:r>
      <w:r>
        <w:rPr>
          <w:lang w:val="es-CO"/>
        </w:rPr>
        <w:t>, se</w:t>
      </w:r>
      <w:r w:rsidRPr="00245F73">
        <w:rPr>
          <w:lang w:val="es-CO"/>
        </w:rPr>
        <w:t xml:space="preserve"> busca la incorporación de una serie de indicadores generales </w:t>
      </w:r>
      <w:r w:rsidR="008E741B">
        <w:rPr>
          <w:lang w:val="es-CO"/>
        </w:rPr>
        <w:t>–</w:t>
      </w:r>
      <w:r w:rsidRPr="00245F73">
        <w:rPr>
          <w:lang w:val="es-CO"/>
        </w:rPr>
        <w:t>los típicos del mundo de la lectura y de la industria editorial</w:t>
      </w:r>
      <w:r w:rsidR="008E741B">
        <w:rPr>
          <w:lang w:val="es-CO"/>
        </w:rPr>
        <w:t xml:space="preserve">– </w:t>
      </w:r>
      <w:r w:rsidRPr="00245F73">
        <w:rPr>
          <w:lang w:val="es-CO"/>
        </w:rPr>
        <w:t>y</w:t>
      </w:r>
      <w:r w:rsidR="008E741B">
        <w:rPr>
          <w:lang w:val="es-CO"/>
        </w:rPr>
        <w:t xml:space="preserve"> se</w:t>
      </w:r>
      <w:r w:rsidRPr="00245F73">
        <w:rPr>
          <w:lang w:val="es-CO"/>
        </w:rPr>
        <w:t xml:space="preserve"> plantea la necesidad de ahondar más en el análisis de la realidad de la lectura en cada país. Esto implica trabajar con información de fuentes diversas con el propósito de </w:t>
      </w:r>
      <w:r w:rsidR="008E741B">
        <w:rPr>
          <w:lang w:val="es-CO"/>
        </w:rPr>
        <w:t>construir un</w:t>
      </w:r>
      <w:r w:rsidRPr="00245F73">
        <w:rPr>
          <w:lang w:val="es-CO"/>
        </w:rPr>
        <w:t xml:space="preserve"> mapa del contexto en el que se promueven la lectura y la escritura:</w:t>
      </w:r>
    </w:p>
    <w:p w:rsidR="00854386" w:rsidRPr="004B10B8" w:rsidRDefault="00854386" w:rsidP="004B10B8">
      <w:pPr>
        <w:pStyle w:val="Listavistosa-nfasis1"/>
        <w:numPr>
          <w:ilvl w:val="0"/>
          <w:numId w:val="35"/>
        </w:numPr>
        <w:ind w:left="284" w:hanging="284"/>
        <w:rPr>
          <w:lang w:val="es-ES"/>
        </w:rPr>
      </w:pPr>
      <w:r w:rsidRPr="004B10B8">
        <w:rPr>
          <w:lang w:val="es-ES"/>
        </w:rPr>
        <w:lastRenderedPageBreak/>
        <w:t>Variables relacionadas con el contexto socioeconómico de los países: PIB total, PIB per cápita, comercio exterior, gasto público, pobreza, etc.</w:t>
      </w:r>
    </w:p>
    <w:p w:rsidR="00854386" w:rsidRPr="004B10B8" w:rsidRDefault="00854386" w:rsidP="004B10B8">
      <w:pPr>
        <w:pStyle w:val="Listavistosa-nfasis1"/>
        <w:numPr>
          <w:ilvl w:val="0"/>
          <w:numId w:val="35"/>
        </w:numPr>
        <w:ind w:left="284" w:hanging="284"/>
        <w:rPr>
          <w:lang w:val="es-ES"/>
        </w:rPr>
      </w:pPr>
      <w:r w:rsidRPr="004B10B8">
        <w:rPr>
          <w:lang w:val="es-ES"/>
        </w:rPr>
        <w:t>Perfiles socioeconómicos de la población: distribución por grupos de edades y nivel educativo, desempleo según nivel educativo, tasas de participación por nivel educativo, posición ocupacio</w:t>
      </w:r>
      <w:r w:rsidR="008E741B">
        <w:rPr>
          <w:lang w:val="es-ES"/>
        </w:rPr>
        <w:t>nal según nivel educativo, etc.</w:t>
      </w:r>
    </w:p>
    <w:p w:rsidR="00854386" w:rsidRPr="004B10B8" w:rsidRDefault="00854386" w:rsidP="004B10B8">
      <w:pPr>
        <w:pStyle w:val="Listavistosa-nfasis1"/>
        <w:numPr>
          <w:ilvl w:val="0"/>
          <w:numId w:val="35"/>
        </w:numPr>
        <w:ind w:left="284" w:hanging="284"/>
        <w:rPr>
          <w:lang w:val="es-ES"/>
        </w:rPr>
      </w:pPr>
      <w:r w:rsidRPr="004B10B8">
        <w:rPr>
          <w:lang w:val="es-ES"/>
        </w:rPr>
        <w:t>Perfiles sociodemográficos en cada uno de los niveles educativos: años de escolaridad, cobertura por niveles educativos, tasas de escolaridad por grupos de edad, educación no f</w:t>
      </w:r>
      <w:r w:rsidR="008E741B">
        <w:rPr>
          <w:lang w:val="es-ES"/>
        </w:rPr>
        <w:t>ormal e informal, etc.</w:t>
      </w:r>
    </w:p>
    <w:p w:rsidR="00854386" w:rsidRPr="004B10B8" w:rsidRDefault="00854386" w:rsidP="004B10B8">
      <w:pPr>
        <w:pStyle w:val="Listavistosa-nfasis1"/>
        <w:numPr>
          <w:ilvl w:val="0"/>
          <w:numId w:val="35"/>
        </w:numPr>
        <w:ind w:left="284" w:hanging="284"/>
        <w:rPr>
          <w:lang w:val="es-ES"/>
        </w:rPr>
      </w:pPr>
      <w:r w:rsidRPr="004B10B8">
        <w:rPr>
          <w:lang w:val="es-ES"/>
        </w:rPr>
        <w:t>La infraestructura existente en términos de las posibilidades de acceso a los bienes culturales escritos: bibliotecas, dotación de textos escolares, librerías, televisión educativa, acceso a y uso de las tecnologías de</w:t>
      </w:r>
      <w:r w:rsidR="008E741B">
        <w:rPr>
          <w:lang w:val="es-ES"/>
        </w:rPr>
        <w:t xml:space="preserve"> la</w:t>
      </w:r>
      <w:r w:rsidRPr="004B10B8">
        <w:rPr>
          <w:lang w:val="es-ES"/>
        </w:rPr>
        <w:t xml:space="preserve"> información y</w:t>
      </w:r>
      <w:r w:rsidR="008E741B">
        <w:rPr>
          <w:lang w:val="es-ES"/>
        </w:rPr>
        <w:t xml:space="preserve"> la</w:t>
      </w:r>
      <w:r w:rsidRPr="004B10B8">
        <w:rPr>
          <w:lang w:val="es-ES"/>
        </w:rPr>
        <w:t xml:space="preserve"> comunicación;</w:t>
      </w:r>
    </w:p>
    <w:p w:rsidR="00854386" w:rsidRPr="004B10B8" w:rsidRDefault="00854386" w:rsidP="004B10B8">
      <w:pPr>
        <w:pStyle w:val="Listavistosa-nfasis1"/>
        <w:numPr>
          <w:ilvl w:val="0"/>
          <w:numId w:val="35"/>
        </w:numPr>
        <w:ind w:left="284" w:hanging="284"/>
        <w:rPr>
          <w:lang w:val="es-ES"/>
        </w:rPr>
      </w:pPr>
      <w:r w:rsidRPr="004B10B8">
        <w:rPr>
          <w:lang w:val="es-ES"/>
        </w:rPr>
        <w:t>El aparato productivo disponible para la manufactura de bienes editoriales: información sobre la cadena productiva alrededor de los bienes edi</w:t>
      </w:r>
      <w:r w:rsidR="008E741B">
        <w:rPr>
          <w:lang w:val="es-ES"/>
        </w:rPr>
        <w:t>toriales (análogos y digitales).</w:t>
      </w:r>
    </w:p>
    <w:p w:rsidR="00854386" w:rsidRPr="004B10B8" w:rsidRDefault="00854386" w:rsidP="004B10B8">
      <w:pPr>
        <w:pStyle w:val="Listavistosa-nfasis1"/>
        <w:numPr>
          <w:ilvl w:val="0"/>
          <w:numId w:val="35"/>
        </w:numPr>
        <w:ind w:left="284" w:hanging="284"/>
        <w:rPr>
          <w:lang w:val="es-ES"/>
        </w:rPr>
      </w:pPr>
      <w:r w:rsidRPr="004B10B8">
        <w:rPr>
          <w:lang w:val="es-ES"/>
        </w:rPr>
        <w:t>Los resultados de pruebas generales de conocimientos o de competencias (exámenes de ingreso a la educación superior, competencias básicas en lenguaje, matemáticas, escritura y ciencias);</w:t>
      </w:r>
    </w:p>
    <w:p w:rsidR="00854386" w:rsidRPr="004B10B8" w:rsidRDefault="00854386" w:rsidP="004B10B8">
      <w:pPr>
        <w:pStyle w:val="Listavistosa-nfasis1"/>
        <w:numPr>
          <w:ilvl w:val="0"/>
          <w:numId w:val="35"/>
        </w:numPr>
        <w:ind w:left="284" w:hanging="284"/>
        <w:rPr>
          <w:lang w:val="es-ES"/>
        </w:rPr>
      </w:pPr>
      <w:r w:rsidRPr="004B10B8">
        <w:rPr>
          <w:lang w:val="es-ES"/>
        </w:rPr>
        <w:t>El comercio de bienes relacionados con la lectura y la escritura: oferta total (producción nacional e importaciones) y exportaciones de diarios, libros, publicaciones periódicas; estadísticas de comportamiento lector; indicadores de uso de bibliotecas; gasto de los hogares en bienes y servicios relacionados con la lectura y otros consumos culturales</w:t>
      </w:r>
      <w:r w:rsidR="008E741B">
        <w:rPr>
          <w:lang w:val="es-ES"/>
        </w:rPr>
        <w:t>.</w:t>
      </w:r>
    </w:p>
    <w:p w:rsidR="00854386" w:rsidRPr="004B10B8" w:rsidRDefault="00854386" w:rsidP="004B10B8">
      <w:pPr>
        <w:pStyle w:val="Listavistosa-nfasis1"/>
        <w:numPr>
          <w:ilvl w:val="0"/>
          <w:numId w:val="35"/>
        </w:numPr>
        <w:ind w:left="284" w:hanging="284"/>
        <w:rPr>
          <w:lang w:val="es-ES"/>
        </w:rPr>
      </w:pPr>
      <w:r w:rsidRPr="004B10B8">
        <w:rPr>
          <w:lang w:val="es-ES"/>
        </w:rPr>
        <w:t>El aparato institucional, público y privado, que se mueve alrededor de la lectura y de la producción de</w:t>
      </w:r>
      <w:r w:rsidR="008E741B">
        <w:rPr>
          <w:lang w:val="es-ES"/>
        </w:rPr>
        <w:t xml:space="preserve"> bienes y servicios editoriales.</w:t>
      </w:r>
      <w:r w:rsidRPr="004B10B8">
        <w:rPr>
          <w:lang w:val="es-ES"/>
        </w:rPr>
        <w:t xml:space="preserve"> </w:t>
      </w:r>
      <w:r w:rsidR="008E741B">
        <w:rPr>
          <w:lang w:val="es-ES"/>
        </w:rPr>
        <w:t>S</w:t>
      </w:r>
      <w:r w:rsidRPr="004B10B8">
        <w:rPr>
          <w:lang w:val="es-ES"/>
        </w:rPr>
        <w:t>e trata aquí de levantar un registro del aparato institucional, público y privado</w:t>
      </w:r>
      <w:r w:rsidR="008E741B">
        <w:rPr>
          <w:lang w:val="es-ES"/>
        </w:rPr>
        <w:t>,</w:t>
      </w:r>
      <w:r w:rsidRPr="004B10B8">
        <w:rPr>
          <w:lang w:val="es-ES"/>
        </w:rPr>
        <w:t xml:space="preserve"> responsable de la formulación y ejecución de políticas en torno a la lectura. </w:t>
      </w:r>
      <w:r w:rsidR="008E741B">
        <w:rPr>
          <w:lang w:val="es-ES"/>
        </w:rPr>
        <w:t>É</w:t>
      </w:r>
      <w:r w:rsidRPr="004B10B8">
        <w:rPr>
          <w:lang w:val="es-ES"/>
        </w:rPr>
        <w:t>ste puede incluir la estructura para tal fin de las agencias estatales, el entramado de organizaciones no gubernamentales y las instituciones del sector privado.</w:t>
      </w:r>
    </w:p>
    <w:p w:rsidR="00854386" w:rsidRDefault="00854386" w:rsidP="004B10B8">
      <w:pPr>
        <w:rPr>
          <w:lang w:val="es-CO"/>
        </w:rPr>
      </w:pPr>
      <w:r>
        <w:rPr>
          <w:lang w:val="es-CO"/>
        </w:rPr>
        <w:t>En una segunda etapa, m</w:t>
      </w:r>
      <w:r w:rsidRPr="0004006F">
        <w:rPr>
          <w:lang w:val="es-CO"/>
        </w:rPr>
        <w:t xml:space="preserve">ediante una metodología de ponderación </w:t>
      </w:r>
      <w:r>
        <w:rPr>
          <w:lang w:val="es-CO"/>
        </w:rPr>
        <w:t xml:space="preserve">estadística </w:t>
      </w:r>
      <w:r w:rsidRPr="0004006F">
        <w:rPr>
          <w:lang w:val="es-CO"/>
        </w:rPr>
        <w:t xml:space="preserve">de las </w:t>
      </w:r>
      <w:r>
        <w:rPr>
          <w:lang w:val="es-CO"/>
        </w:rPr>
        <w:t xml:space="preserve">variables seleccionadas, se establecerán </w:t>
      </w:r>
      <w:r w:rsidRPr="0004006F">
        <w:rPr>
          <w:lang w:val="es-CO"/>
        </w:rPr>
        <w:lastRenderedPageBreak/>
        <w:t xml:space="preserve">clasificaciones de los países con respecto al comportamiento </w:t>
      </w:r>
      <w:r w:rsidR="008E741B">
        <w:rPr>
          <w:lang w:val="es-CO"/>
        </w:rPr>
        <w:t xml:space="preserve">en </w:t>
      </w:r>
      <w:r w:rsidRPr="0004006F">
        <w:rPr>
          <w:lang w:val="es-CO"/>
        </w:rPr>
        <w:t xml:space="preserve">el </w:t>
      </w:r>
      <w:r w:rsidR="008E741B">
        <w:rPr>
          <w:lang w:val="es-CO"/>
        </w:rPr>
        <w:t>Índice de Desarrollo Lector</w:t>
      </w:r>
      <w:r w:rsidRPr="0004006F">
        <w:rPr>
          <w:lang w:val="es-CO"/>
        </w:rPr>
        <w:t xml:space="preserve"> obtenido</w:t>
      </w:r>
      <w:r>
        <w:rPr>
          <w:lang w:val="es-CO"/>
        </w:rPr>
        <w:t xml:space="preserve"> y se </w:t>
      </w:r>
      <w:r w:rsidRPr="0004006F">
        <w:rPr>
          <w:lang w:val="es-CO"/>
        </w:rPr>
        <w:t xml:space="preserve">identificará el grado de desarrollo en cada una de las variables que lo componen. El </w:t>
      </w:r>
      <w:r w:rsidR="008E741B">
        <w:rPr>
          <w:lang w:val="es-CO"/>
        </w:rPr>
        <w:t>Índice</w:t>
      </w:r>
      <w:r w:rsidRPr="0004006F">
        <w:rPr>
          <w:lang w:val="es-CO"/>
        </w:rPr>
        <w:t xml:space="preserve"> se construirá a partir de información de fuentes secundarias sobre aspectos del desarrollo cultural, social y económico de los países. Al combinar variables de diverso origen, reflejará </w:t>
      </w:r>
      <w:r w:rsidR="008E741B">
        <w:rPr>
          <w:lang w:val="es-CO"/>
        </w:rPr>
        <w:t xml:space="preserve">no sólo </w:t>
      </w:r>
      <w:r w:rsidRPr="0004006F">
        <w:rPr>
          <w:lang w:val="es-CO"/>
        </w:rPr>
        <w:t>las tendencias de desarrollo en las variables propias del sector (educación, infraestructura bibliotecaria, producción y circulación de bienes editoriales)</w:t>
      </w:r>
      <w:r w:rsidR="008E741B">
        <w:rPr>
          <w:lang w:val="es-CO"/>
        </w:rPr>
        <w:t>, sino en las</w:t>
      </w:r>
      <w:r w:rsidRPr="0004006F">
        <w:rPr>
          <w:lang w:val="es-CO"/>
        </w:rPr>
        <w:t xml:space="preserve"> </w:t>
      </w:r>
      <w:r w:rsidR="008E741B">
        <w:rPr>
          <w:lang w:val="es-CO"/>
        </w:rPr>
        <w:t xml:space="preserve">de las </w:t>
      </w:r>
      <w:r w:rsidRPr="0004006F">
        <w:rPr>
          <w:lang w:val="es-CO"/>
        </w:rPr>
        <w:t>variables socioeconómicas del contexto</w:t>
      </w:r>
      <w:r w:rsidR="008E741B">
        <w:rPr>
          <w:lang w:val="es-CO"/>
        </w:rPr>
        <w:t>.</w:t>
      </w:r>
      <w:r w:rsidRPr="0004006F">
        <w:rPr>
          <w:lang w:val="es-CO"/>
        </w:rPr>
        <w:t xml:space="preserve"> De esta forma, el IDL permitirá una aproximación a las interrelaciones entre las variables socioeconómicas y las variables culturales.</w:t>
      </w:r>
    </w:p>
    <w:p w:rsidR="00854386" w:rsidRDefault="00854386" w:rsidP="00E3477F">
      <w:pPr>
        <w:pStyle w:val="Ttulo2"/>
        <w:rPr>
          <w:sz w:val="24"/>
        </w:rPr>
      </w:pPr>
      <w:bookmarkStart w:id="44" w:name="_Toc446953655"/>
      <w:r w:rsidRPr="00604753">
        <w:t>Diagnóstico de la industria editorial regional</w:t>
      </w:r>
      <w:bookmarkEnd w:id="44"/>
    </w:p>
    <w:p w:rsidR="00854386" w:rsidRPr="00187EB5" w:rsidRDefault="00854386" w:rsidP="00E3477F">
      <w:pPr>
        <w:rPr>
          <w:b/>
          <w:lang w:val="es-CO"/>
        </w:rPr>
      </w:pPr>
      <w:r>
        <w:rPr>
          <w:lang w:val="es-CO"/>
        </w:rPr>
        <w:t>Han transcurrido varias décadas sin que la región cuente con un estudio detallado de la situación del sector del libro, tal como se hizo en los años ochenta por parte del CERLALC. La información estadística sobre el sector, dispersa en múltiples fuentes y documentos, amerita ser recogida y analiz</w:t>
      </w:r>
      <w:r w:rsidR="00E3477F">
        <w:rPr>
          <w:lang w:val="es-CO"/>
        </w:rPr>
        <w:t>ada juiciosamente para dotar a los g</w:t>
      </w:r>
      <w:r>
        <w:rPr>
          <w:lang w:val="es-CO"/>
        </w:rPr>
        <w:t>obiernos y</w:t>
      </w:r>
      <w:r w:rsidR="00E3477F">
        <w:rPr>
          <w:lang w:val="es-CO"/>
        </w:rPr>
        <w:t xml:space="preserve"> al</w:t>
      </w:r>
      <w:r>
        <w:rPr>
          <w:lang w:val="es-CO"/>
        </w:rPr>
        <w:t xml:space="preserve"> sector privado de instrumentos eficaces en la toma de decisiones.</w:t>
      </w:r>
    </w:p>
    <w:p w:rsidR="00854386" w:rsidRPr="00A82622" w:rsidRDefault="00854386" w:rsidP="00E3477F">
      <w:pPr>
        <w:rPr>
          <w:lang w:val="es-CO"/>
        </w:rPr>
      </w:pPr>
      <w:r>
        <w:rPr>
          <w:lang w:val="es-CO"/>
        </w:rPr>
        <w:t>La propuesta es emprender una serie de estudios dirigidos a la construcción de diagnósticos nacionales del sector del libro que incorporen todas las variables relacionadas con la creación, producción y circulació</w:t>
      </w:r>
      <w:r w:rsidR="00E3477F">
        <w:rPr>
          <w:lang w:val="es-CO"/>
        </w:rPr>
        <w:t>n de los contenidos editoriales. Estudios</w:t>
      </w:r>
      <w:r>
        <w:rPr>
          <w:lang w:val="es-CO"/>
        </w:rPr>
        <w:t xml:space="preserve"> que</w:t>
      </w:r>
      <w:r w:rsidR="00E3477F">
        <w:rPr>
          <w:lang w:val="es-CO"/>
        </w:rPr>
        <w:t>,</w:t>
      </w:r>
      <w:r>
        <w:rPr>
          <w:lang w:val="es-CO"/>
        </w:rPr>
        <w:t xml:space="preserve"> además de mostrar el desarrollo reciente del sector, permita</w:t>
      </w:r>
      <w:r w:rsidR="00E3477F">
        <w:rPr>
          <w:lang w:val="es-CO"/>
        </w:rPr>
        <w:t>n</w:t>
      </w:r>
      <w:r>
        <w:rPr>
          <w:lang w:val="es-CO"/>
        </w:rPr>
        <w:t xml:space="preserve"> tener una fotografía nítida de su estructura actual y</w:t>
      </w:r>
      <w:r w:rsidR="00E3477F">
        <w:rPr>
          <w:lang w:val="es-CO"/>
        </w:rPr>
        <w:t xml:space="preserve"> sirvan para formular</w:t>
      </w:r>
      <w:r>
        <w:rPr>
          <w:lang w:val="es-CO"/>
        </w:rPr>
        <w:t xml:space="preserve"> recomendaciones hacia el corto y el mediano plazo. </w:t>
      </w:r>
    </w:p>
    <w:p w:rsidR="00854386" w:rsidRDefault="00854386" w:rsidP="00E3477F">
      <w:pPr>
        <w:rPr>
          <w:rFonts w:eastAsia="Times New Roman"/>
          <w:bCs/>
          <w:color w:val="000000"/>
          <w:kern w:val="32"/>
          <w:lang w:val="es-CO"/>
        </w:rPr>
      </w:pPr>
      <w:r w:rsidRPr="00572D47">
        <w:rPr>
          <w:rFonts w:eastAsia="Times New Roman"/>
          <w:bCs/>
          <w:color w:val="000000"/>
          <w:kern w:val="32"/>
          <w:lang w:val="es-CO"/>
        </w:rPr>
        <w:t xml:space="preserve">En su etapa inicial, se realizará, a manera de pilotaje, un análisis, bien de un país, o bien de un grupo seleccionado de países, donde se indagará por la producción de la actividad editorial en organismos oficiales como los institutos nacionales de estadística, los ministerios de cultura y/o educación y las entidades de comercio exterior. También se recurrirá a la información producida por entidades especializadas </w:t>
      </w:r>
      <w:r>
        <w:rPr>
          <w:rFonts w:eastAsia="Times New Roman"/>
          <w:bCs/>
          <w:color w:val="000000"/>
          <w:kern w:val="32"/>
          <w:lang w:val="es-CO"/>
        </w:rPr>
        <w:t xml:space="preserve">del sector </w:t>
      </w:r>
      <w:r w:rsidRPr="00572D47">
        <w:rPr>
          <w:rFonts w:eastAsia="Times New Roman"/>
          <w:bCs/>
          <w:color w:val="000000"/>
          <w:kern w:val="32"/>
          <w:lang w:val="es-CO"/>
        </w:rPr>
        <w:t>editorial</w:t>
      </w:r>
      <w:r>
        <w:rPr>
          <w:rFonts w:eastAsia="Times New Roman"/>
          <w:bCs/>
          <w:color w:val="000000"/>
          <w:kern w:val="32"/>
          <w:lang w:val="es-CO"/>
        </w:rPr>
        <w:t>.</w:t>
      </w:r>
    </w:p>
    <w:p w:rsidR="00854386" w:rsidRDefault="00854386" w:rsidP="00E3477F">
      <w:pPr>
        <w:rPr>
          <w:rFonts w:eastAsia="Times New Roman"/>
          <w:bCs/>
          <w:color w:val="000000"/>
          <w:kern w:val="32"/>
          <w:lang w:val="es-CO"/>
        </w:rPr>
      </w:pPr>
      <w:r>
        <w:rPr>
          <w:rFonts w:eastAsia="Times New Roman"/>
          <w:bCs/>
          <w:color w:val="000000"/>
          <w:kern w:val="32"/>
          <w:lang w:val="es-CO"/>
        </w:rPr>
        <w:lastRenderedPageBreak/>
        <w:t xml:space="preserve">Para los </w:t>
      </w:r>
      <w:r w:rsidR="00E3477F">
        <w:rPr>
          <w:rFonts w:eastAsia="Times New Roman"/>
          <w:bCs/>
          <w:color w:val="000000"/>
          <w:kern w:val="32"/>
          <w:lang w:val="es-CO"/>
        </w:rPr>
        <w:t>fines</w:t>
      </w:r>
      <w:r>
        <w:rPr>
          <w:rFonts w:eastAsia="Times New Roman"/>
          <w:bCs/>
          <w:color w:val="000000"/>
          <w:kern w:val="32"/>
          <w:lang w:val="es-CO"/>
        </w:rPr>
        <w:t xml:space="preserve"> de este proyecto, el CERLALC actualizará la metodología para la realización de estudios sobre el libro. Como parte del pilotaje del proyecto, el C</w:t>
      </w:r>
      <w:r w:rsidR="00E3477F">
        <w:rPr>
          <w:rFonts w:eastAsia="Times New Roman"/>
          <w:bCs/>
          <w:color w:val="000000"/>
          <w:kern w:val="32"/>
          <w:lang w:val="es-CO"/>
        </w:rPr>
        <w:t>entro</w:t>
      </w:r>
      <w:r>
        <w:rPr>
          <w:rFonts w:eastAsia="Times New Roman"/>
          <w:bCs/>
          <w:color w:val="000000"/>
          <w:kern w:val="32"/>
          <w:lang w:val="es-CO"/>
        </w:rPr>
        <w:t xml:space="preserve"> ya ha firmado un convenio con</w:t>
      </w:r>
      <w:r w:rsidR="00E3477F">
        <w:rPr>
          <w:rFonts w:eastAsia="Times New Roman"/>
          <w:bCs/>
          <w:color w:val="000000"/>
          <w:kern w:val="32"/>
          <w:lang w:val="es-CO"/>
        </w:rPr>
        <w:t xml:space="preserve"> la Cámara Colombiana del Libro</w:t>
      </w:r>
      <w:r>
        <w:rPr>
          <w:rFonts w:eastAsia="Times New Roman"/>
          <w:bCs/>
          <w:color w:val="000000"/>
          <w:kern w:val="32"/>
          <w:lang w:val="es-CO"/>
        </w:rPr>
        <w:t xml:space="preserve"> para la realización de un estudio sobre el sector en Colombia, que servirá de modelo para proponer acciones similares en otros países de la región.</w:t>
      </w:r>
    </w:p>
    <w:p w:rsidR="00E3477F" w:rsidRDefault="00854386" w:rsidP="00E3477F">
      <w:pPr>
        <w:pStyle w:val="Ttulo2"/>
        <w:rPr>
          <w:kern w:val="32"/>
        </w:rPr>
      </w:pPr>
      <w:bookmarkStart w:id="45" w:name="_Toc446953656"/>
      <w:bookmarkStart w:id="46" w:name="OLE_LINK5"/>
      <w:bookmarkStart w:id="47" w:name="OLE_LINK1"/>
      <w:r w:rsidRPr="00E3477F">
        <w:rPr>
          <w:kern w:val="32"/>
        </w:rPr>
        <w:t>Compras públicas de materiales editoriales para uso en establecimientos educativo y en el sistema bibliotecario</w:t>
      </w:r>
      <w:bookmarkEnd w:id="45"/>
    </w:p>
    <w:p w:rsidR="00854386" w:rsidRPr="0041191B" w:rsidRDefault="00854386" w:rsidP="00E3477F">
      <w:pPr>
        <w:rPr>
          <w:b/>
          <w:kern w:val="32"/>
          <w:sz w:val="28"/>
          <w:szCs w:val="28"/>
          <w:lang w:val="es-CO"/>
        </w:rPr>
      </w:pPr>
      <w:r w:rsidRPr="00E3477F">
        <w:rPr>
          <w:kern w:val="32"/>
          <w:lang w:val="es-CO"/>
        </w:rPr>
        <w:t xml:space="preserve">Desde hace ya cerca de una década, el CERLALC no ha indagado en las tendencias y cifras de las compras públicas de materiales editoriales (impresos y digitales) destinados a la dotación de textos educativos en la educación básica y media y en el sistema bibliotecario público y escolar. La propuesta pretende elaborar un estudio que actualice la información sobre los volúmenes de compras públicas y las tendencias </w:t>
      </w:r>
      <w:r w:rsidRPr="0041191B">
        <w:rPr>
          <w:kern w:val="32"/>
          <w:lang w:val="es-CO"/>
        </w:rPr>
        <w:t>más significativas en los últimos años.</w:t>
      </w:r>
    </w:p>
    <w:p w:rsidR="00854386" w:rsidRPr="0041191B" w:rsidRDefault="00607EEB" w:rsidP="00E3477F">
      <w:pPr>
        <w:pStyle w:val="Ttulo2"/>
        <w:rPr>
          <w:kern w:val="32"/>
        </w:rPr>
      </w:pPr>
      <w:bookmarkStart w:id="48" w:name="_Toc446953657"/>
      <w:bookmarkEnd w:id="46"/>
      <w:r w:rsidRPr="0041191B">
        <w:rPr>
          <w:kern w:val="32"/>
        </w:rPr>
        <w:t xml:space="preserve">Estado del arte en adquisición y uso </w:t>
      </w:r>
      <w:r w:rsidR="00854386" w:rsidRPr="0041191B">
        <w:rPr>
          <w:kern w:val="32"/>
        </w:rPr>
        <w:t>de dispositivos electrónicos en el sistema educativo</w:t>
      </w:r>
      <w:bookmarkEnd w:id="48"/>
    </w:p>
    <w:bookmarkEnd w:id="47"/>
    <w:p w:rsidR="00854386" w:rsidRDefault="00854386" w:rsidP="00E3477F">
      <w:pPr>
        <w:rPr>
          <w:kern w:val="32"/>
          <w:lang w:val="es-CO"/>
        </w:rPr>
      </w:pPr>
      <w:r w:rsidRPr="0041191B">
        <w:rPr>
          <w:kern w:val="32"/>
          <w:lang w:val="es-CO"/>
        </w:rPr>
        <w:t>La creciente adopción de tecnologías de</w:t>
      </w:r>
      <w:r w:rsidR="00E3477F" w:rsidRPr="0041191B">
        <w:rPr>
          <w:kern w:val="32"/>
          <w:lang w:val="es-CO"/>
        </w:rPr>
        <w:t xml:space="preserve"> la</w:t>
      </w:r>
      <w:r w:rsidRPr="0041191B">
        <w:rPr>
          <w:kern w:val="32"/>
          <w:lang w:val="es-CO"/>
        </w:rPr>
        <w:t xml:space="preserve"> información y</w:t>
      </w:r>
      <w:r w:rsidR="00E3477F" w:rsidRPr="0041191B">
        <w:rPr>
          <w:kern w:val="32"/>
          <w:lang w:val="es-CO"/>
        </w:rPr>
        <w:t xml:space="preserve"> la</w:t>
      </w:r>
      <w:r w:rsidRPr="0041191B">
        <w:rPr>
          <w:kern w:val="32"/>
          <w:lang w:val="es-CO"/>
        </w:rPr>
        <w:t xml:space="preserve"> comunicación en la educación básica en la región ha multiplicado la demanda, por parte de los gobiernos, de dispositivos electrónicos de lectura y de contenidos editoriales en formato digital. Las compras públicas en este campo han estado fuertemente presionadas por las condiciones y características de la oferta desde el sector tecnológico y desde la industria editorial. </w:t>
      </w:r>
      <w:r w:rsidR="00607EEB" w:rsidRPr="0041191B">
        <w:rPr>
          <w:kern w:val="32"/>
          <w:lang w:val="es-CO"/>
        </w:rPr>
        <w:t>Será de gran utilidad para los países miembros un trabajo que muestre las tendencias en los últimos años en cuanto a adquisición y uso de este tipo de dispositivos.</w:t>
      </w:r>
    </w:p>
    <w:p w:rsidR="00854386" w:rsidRPr="00604753" w:rsidRDefault="00854386" w:rsidP="00E3477F">
      <w:pPr>
        <w:pStyle w:val="Ttulo2"/>
        <w:rPr>
          <w:kern w:val="32"/>
        </w:rPr>
      </w:pPr>
      <w:bookmarkStart w:id="49" w:name="_Toc446953658"/>
      <w:bookmarkStart w:id="50" w:name="OLE_LINK2"/>
      <w:r w:rsidRPr="00604753">
        <w:rPr>
          <w:kern w:val="32"/>
        </w:rPr>
        <w:t>Diseño de una metodología para estudios etnográficos de comportamiento lector</w:t>
      </w:r>
      <w:bookmarkEnd w:id="49"/>
      <w:r w:rsidRPr="00604753">
        <w:rPr>
          <w:kern w:val="32"/>
        </w:rPr>
        <w:t xml:space="preserve"> </w:t>
      </w:r>
    </w:p>
    <w:bookmarkEnd w:id="50"/>
    <w:p w:rsidR="00E3477F" w:rsidRDefault="00854386" w:rsidP="00E3477F">
      <w:pPr>
        <w:rPr>
          <w:kern w:val="32"/>
          <w:lang w:val="es-CO"/>
        </w:rPr>
      </w:pPr>
      <w:r>
        <w:rPr>
          <w:kern w:val="32"/>
          <w:lang w:val="es-CO"/>
        </w:rPr>
        <w:t>S</w:t>
      </w:r>
      <w:r w:rsidRPr="00604753">
        <w:rPr>
          <w:kern w:val="32"/>
          <w:lang w:val="es-CO"/>
        </w:rPr>
        <w:t xml:space="preserve">e propone </w:t>
      </w:r>
      <w:r w:rsidR="00E3477F">
        <w:rPr>
          <w:kern w:val="32"/>
          <w:lang w:val="es-CO"/>
        </w:rPr>
        <w:t>emprender</w:t>
      </w:r>
      <w:r w:rsidRPr="00604753">
        <w:rPr>
          <w:kern w:val="32"/>
          <w:lang w:val="es-CO"/>
        </w:rPr>
        <w:t xml:space="preserve"> la construcción de una metodología para estudios cualitativos de comportamiento lector, en grupos específicos de la población, que permitan ir </w:t>
      </w:r>
      <w:r w:rsidR="00E3477F">
        <w:rPr>
          <w:kern w:val="32"/>
          <w:lang w:val="es-CO"/>
        </w:rPr>
        <w:t>adquiriendo</w:t>
      </w:r>
      <w:r w:rsidRPr="00604753">
        <w:rPr>
          <w:kern w:val="32"/>
          <w:lang w:val="es-CO"/>
        </w:rPr>
        <w:t xml:space="preserve"> conocimiento acerca de las </w:t>
      </w:r>
      <w:r w:rsidRPr="00604753">
        <w:rPr>
          <w:kern w:val="32"/>
          <w:lang w:val="es-CO"/>
        </w:rPr>
        <w:lastRenderedPageBreak/>
        <w:t>tendencias que empiezan a vislumbrarse en la confluencia de contenidos culturales y educativos, propiciada por las nuevas tecnologías.</w:t>
      </w:r>
    </w:p>
    <w:p w:rsidR="00E3477F" w:rsidRDefault="00E3477F" w:rsidP="00E3477F">
      <w:pPr>
        <w:pStyle w:val="Ttulo1"/>
        <w:rPr>
          <w:sz w:val="28"/>
        </w:rPr>
      </w:pPr>
      <w:bookmarkStart w:id="51" w:name="_Toc446953659"/>
      <w:r w:rsidRPr="007D346D">
        <w:rPr>
          <w:color w:val="000000"/>
        </w:rPr>
        <w:lastRenderedPageBreak/>
        <w:t>3</w:t>
      </w:r>
      <w:r>
        <w:rPr>
          <w:color w:val="000000"/>
        </w:rPr>
        <w:t xml:space="preserve">. </w:t>
      </w:r>
      <w:r>
        <w:rPr>
          <w:sz w:val="28"/>
        </w:rPr>
        <w:t>Formación y c</w:t>
      </w:r>
      <w:r w:rsidRPr="00572D47">
        <w:rPr>
          <w:sz w:val="28"/>
        </w:rPr>
        <w:t>apacitación</w:t>
      </w:r>
      <w:bookmarkEnd w:id="51"/>
    </w:p>
    <w:p w:rsidR="00E3477F" w:rsidRPr="006B5F45" w:rsidRDefault="00E3477F" w:rsidP="00E3477F">
      <w:pPr>
        <w:rPr>
          <w:lang w:val="es-CO"/>
        </w:rPr>
      </w:pPr>
      <w:r w:rsidRPr="006B5F45">
        <w:rPr>
          <w:lang w:val="es-CO"/>
        </w:rPr>
        <w:t xml:space="preserve">El Programa de Formación del CERLALC pretende apoyar la cualificación de los actores del libro con propuestas novedosas, desarrolladas por expertos, en temas especializados que no brinda la educación formal. En </w:t>
      </w:r>
      <w:r>
        <w:rPr>
          <w:lang w:val="es-CO"/>
        </w:rPr>
        <w:t>estas propuestas</w:t>
      </w:r>
      <w:r w:rsidRPr="006B5F45">
        <w:rPr>
          <w:lang w:val="es-CO"/>
        </w:rPr>
        <w:t xml:space="preserve"> se privilegia el conocimiento para la resolución de problemas (saber-hacer) y se busca aprovechar el potencial de las comunidades virtuales como espacios para el aprendizaje colaborativo y permanente. Durante sus nu</w:t>
      </w:r>
      <w:r>
        <w:rPr>
          <w:lang w:val="es-CO"/>
        </w:rPr>
        <w:t>eve años de existencia, el P</w:t>
      </w:r>
      <w:r w:rsidRPr="006B5F45">
        <w:rPr>
          <w:lang w:val="es-CO"/>
        </w:rPr>
        <w:t>rograma ha apoyado la formación de más de diez mil personas, entre las que se encuentran bibliotecarios, editores, docentes, promotores de lectura, agentes educativos, libreros y autores, a través de acciones directas del Centro o en convenio con entidades relacionadas con el sector.</w:t>
      </w:r>
    </w:p>
    <w:p w:rsidR="00E3477F" w:rsidRDefault="00E3477F" w:rsidP="00E3477F">
      <w:pPr>
        <w:rPr>
          <w:lang w:val="es-CO"/>
        </w:rPr>
      </w:pPr>
      <w:r w:rsidRPr="006B5F45">
        <w:rPr>
          <w:lang w:val="es-CO"/>
        </w:rPr>
        <w:t>No hay duda de que la formación profesional es un aliado de los procesos de mejora y de cambio, toda vez que ayuda a fortalecer los procesos, prácticas y competencias de cada uno de los actores del sector del libro en los múltiples escenarios en los que se desempeñan. Por esta razón, durante el bienio 2016-2017, el Centro seguirá encaminando sus esfuerzos para garantizar una oferta de formación de calidad, cuyos contenidos y metodologías enriquezcan el quehacer de bibliotecarios (públicos y escolares), editores, docentes, promotores de lectura, agentes educativos, libreros y autores.</w:t>
      </w:r>
      <w:r>
        <w:rPr>
          <w:lang w:val="es-CO"/>
        </w:rPr>
        <w:t xml:space="preserve"> La eficiencia en esta tarea implica la identificación de necesidades de formación en cada una de las áreas, el desarrollo de contenidos para los cursos y la conformación de un equipo idóneo para la conducción de los mismos.</w:t>
      </w:r>
    </w:p>
    <w:p w:rsidR="00E3477F" w:rsidRDefault="00E3477F" w:rsidP="00E3477F">
      <w:pPr>
        <w:rPr>
          <w:lang w:val="es-CO"/>
        </w:rPr>
      </w:pPr>
      <w:r>
        <w:rPr>
          <w:lang w:val="es-CO"/>
        </w:rPr>
        <w:t xml:space="preserve">La propuesta para el presente bienio combina acciones en el campo de la formación presencial y a distancia y propende por construir ofertas específicas a los requerimientos de la demanda planteada por los organismos relacionados en cada país (ministerios de cultura y educación, asociaciones de profesionales y gremios del sector). La propuesta que se plantea parte </w:t>
      </w:r>
      <w:r w:rsidR="00F62F3D">
        <w:rPr>
          <w:lang w:val="es-CO"/>
        </w:rPr>
        <w:t>un</w:t>
      </w:r>
      <w:r>
        <w:rPr>
          <w:lang w:val="es-CO"/>
        </w:rPr>
        <w:t xml:space="preserve"> portafolio de cu</w:t>
      </w:r>
      <w:r w:rsidR="00F62F3D">
        <w:rPr>
          <w:lang w:val="es-CO"/>
        </w:rPr>
        <w:t>rsos que se ha ido conformando desde hace algunos años y recoge al experiencia del CERLALC en su implementación:</w:t>
      </w:r>
      <w:r>
        <w:rPr>
          <w:lang w:val="es-CO"/>
        </w:rPr>
        <w:t xml:space="preserve"> </w:t>
      </w:r>
    </w:p>
    <w:p w:rsidR="00E3477F" w:rsidRPr="00F62F3D" w:rsidRDefault="00E3477F" w:rsidP="00F62F3D">
      <w:pPr>
        <w:pStyle w:val="Listavistosa-nfasis1"/>
        <w:numPr>
          <w:ilvl w:val="0"/>
          <w:numId w:val="35"/>
        </w:numPr>
        <w:ind w:left="284" w:hanging="284"/>
        <w:rPr>
          <w:lang w:val="es-ES"/>
        </w:rPr>
      </w:pPr>
      <w:r w:rsidRPr="00F62F3D">
        <w:rPr>
          <w:lang w:val="es-ES"/>
        </w:rPr>
        <w:lastRenderedPageBreak/>
        <w:t>Renovación de la didáctica del lenguaje en los primeros grados de escolaridad.</w:t>
      </w:r>
    </w:p>
    <w:p w:rsidR="00E3477F" w:rsidRPr="00E3477F" w:rsidRDefault="00E3477F" w:rsidP="00E3477F">
      <w:pPr>
        <w:pStyle w:val="Listavistosa-nfasis1"/>
        <w:numPr>
          <w:ilvl w:val="0"/>
          <w:numId w:val="35"/>
        </w:numPr>
        <w:ind w:left="284" w:hanging="284"/>
        <w:rPr>
          <w:lang w:val="es-ES"/>
        </w:rPr>
      </w:pPr>
      <w:r w:rsidRPr="00E3477F">
        <w:rPr>
          <w:lang w:val="es-ES"/>
        </w:rPr>
        <w:t>Lenguajes de expresión artística en la educación inicial</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Formación de mediadores de lectura</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Formación de bibliotecarios escolares</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Innovación y liderazgo</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Gestión económica de la empresa editorial</w:t>
      </w:r>
      <w:r w:rsidR="00F62F3D">
        <w:rPr>
          <w:lang w:val="es-ES"/>
        </w:rPr>
        <w:t>.</w:t>
      </w:r>
    </w:p>
    <w:p w:rsidR="00E3477F" w:rsidRPr="00E3477F" w:rsidRDefault="00F62F3D" w:rsidP="00E3477F">
      <w:pPr>
        <w:pStyle w:val="Listavistosa-nfasis1"/>
        <w:numPr>
          <w:ilvl w:val="0"/>
          <w:numId w:val="35"/>
        </w:numPr>
        <w:ind w:left="284" w:hanging="284"/>
        <w:rPr>
          <w:lang w:val="es-ES"/>
        </w:rPr>
      </w:pPr>
      <w:r>
        <w:rPr>
          <w:lang w:val="es-ES"/>
        </w:rPr>
        <w:t>La l</w:t>
      </w:r>
      <w:r w:rsidR="00E3477F" w:rsidRPr="00E3477F">
        <w:rPr>
          <w:lang w:val="es-ES"/>
        </w:rPr>
        <w:t>ibrería en tiempos de cambio</w:t>
      </w:r>
      <w:r>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Derecho de autor para industrias creativas</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Diplomado de derechos de autor y derechos conexos</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Derecho de autor para docentes</w:t>
      </w:r>
      <w:r w:rsidR="00F62F3D">
        <w:rPr>
          <w:lang w:val="es-ES"/>
        </w:rPr>
        <w:t>.</w:t>
      </w:r>
    </w:p>
    <w:p w:rsidR="00E3477F" w:rsidRPr="00E3477F" w:rsidRDefault="00E3477F" w:rsidP="00E3477F">
      <w:pPr>
        <w:pStyle w:val="Listavistosa-nfasis1"/>
        <w:numPr>
          <w:ilvl w:val="0"/>
          <w:numId w:val="35"/>
        </w:numPr>
        <w:ind w:left="284" w:hanging="284"/>
        <w:rPr>
          <w:lang w:val="es-ES"/>
        </w:rPr>
      </w:pPr>
      <w:r w:rsidRPr="00E3477F">
        <w:rPr>
          <w:lang w:val="es-ES"/>
        </w:rPr>
        <w:t>Derecho de autor para bibliotecarios</w:t>
      </w:r>
      <w:r w:rsidR="00F62F3D">
        <w:rPr>
          <w:lang w:val="es-ES"/>
        </w:rPr>
        <w:t>.</w:t>
      </w:r>
    </w:p>
    <w:p w:rsidR="00E3477F" w:rsidRPr="007D346D" w:rsidRDefault="00E3477F" w:rsidP="00F62F3D">
      <w:pPr>
        <w:pStyle w:val="Ttulo1"/>
      </w:pPr>
      <w:bookmarkStart w:id="52" w:name="_Toc446953660"/>
      <w:r w:rsidRPr="007D346D">
        <w:lastRenderedPageBreak/>
        <w:t>4. Eventos</w:t>
      </w:r>
      <w:bookmarkEnd w:id="52"/>
    </w:p>
    <w:p w:rsidR="00E3477F" w:rsidRPr="007D346D" w:rsidRDefault="00F62F3D" w:rsidP="00F62F3D">
      <w:pPr>
        <w:pStyle w:val="Ttulo2"/>
        <w:rPr>
          <w:kern w:val="32"/>
        </w:rPr>
      </w:pPr>
      <w:bookmarkStart w:id="53" w:name="_Toc446953661"/>
      <w:bookmarkStart w:id="54" w:name="OLE_LINK3"/>
      <w:r>
        <w:rPr>
          <w:kern w:val="32"/>
        </w:rPr>
        <w:t>Primera i</w:t>
      </w:r>
      <w:r w:rsidR="00E3477F" w:rsidRPr="007D346D">
        <w:rPr>
          <w:kern w:val="32"/>
        </w:rPr>
        <w:t xml:space="preserve">nfancia y </w:t>
      </w:r>
      <w:r>
        <w:rPr>
          <w:kern w:val="32"/>
        </w:rPr>
        <w:t>d</w:t>
      </w:r>
      <w:r w:rsidR="00E3477F" w:rsidRPr="007D346D">
        <w:rPr>
          <w:kern w:val="32"/>
        </w:rPr>
        <w:t xml:space="preserve">ispositivos </w:t>
      </w:r>
      <w:r>
        <w:rPr>
          <w:kern w:val="32"/>
        </w:rPr>
        <w:t>d</w:t>
      </w:r>
      <w:r w:rsidR="00E3477F" w:rsidRPr="007D346D">
        <w:rPr>
          <w:kern w:val="32"/>
        </w:rPr>
        <w:t>igitales</w:t>
      </w:r>
      <w:bookmarkEnd w:id="53"/>
    </w:p>
    <w:bookmarkEnd w:id="54"/>
    <w:p w:rsidR="00E3477F" w:rsidRDefault="00E3477F" w:rsidP="00F62F3D">
      <w:pPr>
        <w:rPr>
          <w:kern w:val="32"/>
          <w:lang w:val="es-CO"/>
        </w:rPr>
      </w:pPr>
      <w:r w:rsidRPr="00756EF1">
        <w:rPr>
          <w:kern w:val="32"/>
          <w:lang w:val="es-CO"/>
        </w:rPr>
        <w:t xml:space="preserve">Uno de los temas de más actualidad e interés tiene que ver con el acceso y uso de dispositivos digitales en los primeros años de edad. </w:t>
      </w:r>
      <w:r>
        <w:rPr>
          <w:kern w:val="32"/>
          <w:lang w:val="es-CO"/>
        </w:rPr>
        <w:t xml:space="preserve">Padres de familia, docentes y académicos están en medio de un debate en torno a analizar los impactos de una vida digital temprana sobre el desarrollo intelectual y educativo posterior. Con este propósito, el CERLALC </w:t>
      </w:r>
      <w:r w:rsidRPr="00756EF1">
        <w:rPr>
          <w:kern w:val="32"/>
          <w:lang w:val="es-CO"/>
        </w:rPr>
        <w:t>diseñará</w:t>
      </w:r>
      <w:r w:rsidR="00F62F3D">
        <w:rPr>
          <w:kern w:val="32"/>
          <w:lang w:val="es-CO"/>
        </w:rPr>
        <w:t xml:space="preserve"> un evento dirigido</w:t>
      </w:r>
      <w:r>
        <w:rPr>
          <w:kern w:val="32"/>
          <w:lang w:val="es-CO"/>
        </w:rPr>
        <w:t xml:space="preserve"> a insertar en la región un debate sobre </w:t>
      </w:r>
      <w:r w:rsidR="00F62F3D">
        <w:rPr>
          <w:kern w:val="32"/>
          <w:lang w:val="es-CO"/>
        </w:rPr>
        <w:t>un</w:t>
      </w:r>
      <w:r>
        <w:rPr>
          <w:kern w:val="32"/>
          <w:lang w:val="es-CO"/>
        </w:rPr>
        <w:t xml:space="preserve"> tema </w:t>
      </w:r>
      <w:r w:rsidR="00F62F3D">
        <w:rPr>
          <w:kern w:val="32"/>
          <w:lang w:val="es-CO"/>
        </w:rPr>
        <w:t xml:space="preserve">que se viene dando ya </w:t>
      </w:r>
      <w:r>
        <w:rPr>
          <w:kern w:val="32"/>
          <w:lang w:val="es-CO"/>
        </w:rPr>
        <w:t>en el mundo desarrollado. Se plantea la realización de tres eventos, en tres capitales diferentes de la región, que permita que las audiencias especializadas</w:t>
      </w:r>
      <w:r w:rsidR="00F62F3D">
        <w:rPr>
          <w:kern w:val="32"/>
          <w:lang w:val="es-CO"/>
        </w:rPr>
        <w:t xml:space="preserve"> e</w:t>
      </w:r>
      <w:r>
        <w:rPr>
          <w:kern w:val="32"/>
          <w:lang w:val="es-CO"/>
        </w:rPr>
        <w:t xml:space="preserve"> interesadas en </w:t>
      </w:r>
      <w:r w:rsidR="00F62F3D">
        <w:rPr>
          <w:kern w:val="32"/>
          <w:lang w:val="es-CO"/>
        </w:rPr>
        <w:t>la cuestión</w:t>
      </w:r>
      <w:r>
        <w:rPr>
          <w:kern w:val="32"/>
          <w:lang w:val="es-CO"/>
        </w:rPr>
        <w:t xml:space="preserve"> puedan conocer el estado del arte</w:t>
      </w:r>
      <w:r w:rsidR="00F62F3D">
        <w:rPr>
          <w:kern w:val="32"/>
          <w:lang w:val="es-CO"/>
        </w:rPr>
        <w:t xml:space="preserve"> sobre este tema</w:t>
      </w:r>
      <w:r>
        <w:rPr>
          <w:kern w:val="32"/>
          <w:lang w:val="es-CO"/>
        </w:rPr>
        <w:t>. Los eventos servirán para generar recomendaciones de política pública en este campo.</w:t>
      </w:r>
    </w:p>
    <w:p w:rsidR="00E3477F" w:rsidRPr="007D346D" w:rsidRDefault="00E3477F" w:rsidP="00F62F3D">
      <w:pPr>
        <w:pStyle w:val="Ttulo2"/>
        <w:rPr>
          <w:kern w:val="32"/>
        </w:rPr>
      </w:pPr>
      <w:bookmarkStart w:id="55" w:name="_Toc446953662"/>
      <w:bookmarkStart w:id="56" w:name="OLE_LINK4"/>
      <w:r w:rsidRPr="007D346D">
        <w:rPr>
          <w:kern w:val="32"/>
        </w:rPr>
        <w:t>Compras públicas de contenidos editoriales: tendencias regionales y retos de mediano plazo</w:t>
      </w:r>
      <w:bookmarkEnd w:id="55"/>
      <w:r w:rsidRPr="007D346D">
        <w:rPr>
          <w:kern w:val="32"/>
        </w:rPr>
        <w:t xml:space="preserve"> </w:t>
      </w:r>
    </w:p>
    <w:bookmarkEnd w:id="56"/>
    <w:p w:rsidR="00E3477F" w:rsidRDefault="00E3477F" w:rsidP="00F62F3D">
      <w:pPr>
        <w:rPr>
          <w:kern w:val="32"/>
          <w:lang w:val="es-CO"/>
        </w:rPr>
      </w:pPr>
      <w:r>
        <w:rPr>
          <w:kern w:val="32"/>
          <w:lang w:val="es-CO"/>
        </w:rPr>
        <w:t>Con la creciente penetración de las tecnologías de información y comunicación en el sistema educativo, existe un marcado interés por conocer las tendencias en el mundo y en la región con respecto a la adquisi</w:t>
      </w:r>
      <w:r w:rsidR="00F62F3D">
        <w:rPr>
          <w:kern w:val="32"/>
          <w:lang w:val="es-CO"/>
        </w:rPr>
        <w:t>ción, desde los organismos del E</w:t>
      </w:r>
      <w:r>
        <w:rPr>
          <w:kern w:val="32"/>
          <w:lang w:val="es-CO"/>
        </w:rPr>
        <w:t xml:space="preserve">stado, de dispositivos electrónicos y contenidos editoriales en formato digital. Los nuevos modelos de negocio que se están generando en el ámbito digital </w:t>
      </w:r>
      <w:r w:rsidR="00F62F3D">
        <w:rPr>
          <w:kern w:val="32"/>
          <w:lang w:val="es-CO"/>
        </w:rPr>
        <w:t>para</w:t>
      </w:r>
      <w:r>
        <w:rPr>
          <w:kern w:val="32"/>
          <w:lang w:val="es-CO"/>
        </w:rPr>
        <w:t xml:space="preserve"> la adquisición de contenidos implican que las decisiones de política pública</w:t>
      </w:r>
      <w:r w:rsidR="00F62F3D">
        <w:rPr>
          <w:kern w:val="32"/>
          <w:lang w:val="es-CO"/>
        </w:rPr>
        <w:t xml:space="preserve"> deban partir</w:t>
      </w:r>
      <w:r>
        <w:rPr>
          <w:kern w:val="32"/>
          <w:lang w:val="es-CO"/>
        </w:rPr>
        <w:t xml:space="preserve"> de un conocimiento informado de lo que está ocurriendo en el mundo y de las perspectivas que se dibujan en estos campos</w:t>
      </w:r>
      <w:r w:rsidR="00F62F3D">
        <w:rPr>
          <w:kern w:val="32"/>
          <w:lang w:val="es-CO"/>
        </w:rPr>
        <w:t>. Sólo así se garantizarán</w:t>
      </w:r>
      <w:r>
        <w:rPr>
          <w:kern w:val="32"/>
          <w:lang w:val="es-CO"/>
        </w:rPr>
        <w:t xml:space="preserve"> mejores decisiones con respecto a dotación de textos educativos para escolares y para la renovación de los acervos de las bibliotecas públicas y </w:t>
      </w:r>
      <w:r w:rsidR="00F62F3D">
        <w:rPr>
          <w:kern w:val="32"/>
          <w:lang w:val="es-CO"/>
        </w:rPr>
        <w:t>de las escuelas</w:t>
      </w:r>
      <w:r>
        <w:rPr>
          <w:kern w:val="32"/>
          <w:lang w:val="es-CO"/>
        </w:rPr>
        <w:t>. De igual manera, la amplia oferta existente en el mercado de dispositivos electrónicos de lectura (tabletas, computadores portátiles y lectores electrónicos) implica ahondar en el conocimiento de las tendencias globales</w:t>
      </w:r>
      <w:r w:rsidR="005775F4">
        <w:rPr>
          <w:kern w:val="32"/>
          <w:lang w:val="es-CO"/>
        </w:rPr>
        <w:t xml:space="preserve"> en este ámbito, así como también</w:t>
      </w:r>
      <w:r>
        <w:rPr>
          <w:kern w:val="32"/>
          <w:lang w:val="es-CO"/>
        </w:rPr>
        <w:t xml:space="preserve"> acercarse a la definición de estándares mínimos en las compras públicas.</w:t>
      </w:r>
    </w:p>
    <w:p w:rsidR="00E3477F" w:rsidRDefault="00E3477F" w:rsidP="00F62F3D">
      <w:pPr>
        <w:rPr>
          <w:kern w:val="32"/>
          <w:lang w:val="es-CO"/>
        </w:rPr>
      </w:pPr>
      <w:r>
        <w:rPr>
          <w:kern w:val="32"/>
          <w:lang w:val="es-CO"/>
        </w:rPr>
        <w:lastRenderedPageBreak/>
        <w:t>Con ese propósito se plantea la realización, en 2017, de un encuentro regional, al que se convocará a las instancias gubernamentales de cultura y educación, en los ámbitos nacionales, regionales y locales, para analizar el tema.</w:t>
      </w:r>
    </w:p>
    <w:p w:rsidR="00E3477F" w:rsidRDefault="00E3477F" w:rsidP="00E3477F">
      <w:pPr>
        <w:pStyle w:val="Listavistosa-nfasis1"/>
        <w:spacing w:line="360" w:lineRule="auto"/>
        <w:rPr>
          <w:rFonts w:eastAsia="Times New Roman"/>
          <w:bCs/>
          <w:color w:val="000000"/>
          <w:kern w:val="32"/>
          <w:sz w:val="24"/>
          <w:lang w:val="es-CO"/>
        </w:rPr>
      </w:pPr>
    </w:p>
    <w:p w:rsidR="00E3477F" w:rsidRPr="0050738D" w:rsidRDefault="00E3477F" w:rsidP="00E3477F">
      <w:pPr>
        <w:pStyle w:val="Listavistosa-nfasis1"/>
        <w:spacing w:line="360" w:lineRule="auto"/>
        <w:rPr>
          <w:rFonts w:eastAsia="Times New Roman"/>
          <w:bCs/>
          <w:color w:val="000000"/>
          <w:kern w:val="32"/>
          <w:sz w:val="24"/>
          <w:lang w:val="es-CO"/>
        </w:rPr>
      </w:pPr>
    </w:p>
    <w:p w:rsidR="00E3477F" w:rsidRDefault="00E3477F" w:rsidP="00E3477F">
      <w:pPr>
        <w:spacing w:line="360" w:lineRule="auto"/>
        <w:rPr>
          <w:rFonts w:eastAsia="Times New Roman"/>
          <w:b/>
          <w:bCs/>
          <w:color w:val="000000"/>
          <w:kern w:val="32"/>
          <w:sz w:val="28"/>
          <w:szCs w:val="28"/>
          <w:lang w:val="es-CO"/>
        </w:rPr>
      </w:pPr>
    </w:p>
    <w:p w:rsidR="00E3477F" w:rsidRPr="007D346D" w:rsidRDefault="00E3477F" w:rsidP="00F62F3D">
      <w:pPr>
        <w:pStyle w:val="Ttulo1"/>
        <w:rPr>
          <w:kern w:val="36"/>
          <w:lang w:eastAsia="es-ES"/>
        </w:rPr>
      </w:pPr>
      <w:bookmarkStart w:id="57" w:name="_Toc446953663"/>
      <w:r w:rsidRPr="007D346D">
        <w:rPr>
          <w:kern w:val="36"/>
          <w:lang w:eastAsia="es-ES"/>
        </w:rPr>
        <w:lastRenderedPageBreak/>
        <w:t>5. Comunicaciones y Publicaciones</w:t>
      </w:r>
      <w:bookmarkEnd w:id="57"/>
    </w:p>
    <w:p w:rsidR="00E3477F" w:rsidRPr="005775F4" w:rsidRDefault="00E3477F" w:rsidP="005775F4">
      <w:pPr>
        <w:pStyle w:val="Ttulo2"/>
      </w:pPr>
      <w:bookmarkStart w:id="58" w:name="_Toc446949096"/>
      <w:bookmarkStart w:id="59" w:name="_Toc446949168"/>
      <w:bookmarkStart w:id="60" w:name="_Toc446953664"/>
      <w:r w:rsidRPr="005775F4">
        <w:t>Comunicaciones</w:t>
      </w:r>
      <w:bookmarkEnd w:id="58"/>
      <w:bookmarkEnd w:id="59"/>
      <w:bookmarkEnd w:id="60"/>
    </w:p>
    <w:p w:rsidR="00E3477F" w:rsidRDefault="00E3477F" w:rsidP="005775F4">
      <w:pPr>
        <w:rPr>
          <w:kern w:val="32"/>
          <w:lang w:val="es-MX"/>
        </w:rPr>
      </w:pPr>
      <w:r w:rsidRPr="005B67F6">
        <w:rPr>
          <w:kern w:val="32"/>
          <w:lang w:val="es-MX"/>
        </w:rPr>
        <w:t xml:space="preserve">El </w:t>
      </w:r>
      <w:r w:rsidRPr="005B67F6">
        <w:rPr>
          <w:kern w:val="32"/>
          <w:lang w:val="es-ES"/>
        </w:rPr>
        <w:t>CERLALC</w:t>
      </w:r>
      <w:r w:rsidRPr="005B67F6">
        <w:rPr>
          <w:kern w:val="32"/>
          <w:lang w:val="es-MX"/>
        </w:rPr>
        <w:t xml:space="preserve"> busca responder a la demanda de información y conocimiento especializado y actualizado de todos sus interlocutores y usuarios (gobiernos, gremios, agentes particulares, profesionales y el público en general), a través de recomendaciones, lineamientos, análisis, metodologías, cifras, así como también mediante la visibilización de experiencias y de prácticas profesiona</w:t>
      </w:r>
      <w:r w:rsidR="005775F4">
        <w:rPr>
          <w:kern w:val="32"/>
          <w:lang w:val="es-MX"/>
        </w:rPr>
        <w:t>les que merecen ser difundidas.</w:t>
      </w:r>
      <w:r w:rsidRPr="005B67F6">
        <w:rPr>
          <w:kern w:val="32"/>
          <w:lang w:val="es-MX"/>
        </w:rPr>
        <w:t xml:space="preserve"> La acción del </w:t>
      </w:r>
      <w:r w:rsidR="005775F4">
        <w:rPr>
          <w:kern w:val="32"/>
          <w:lang w:val="es-MX"/>
        </w:rPr>
        <w:t>Centro</w:t>
      </w:r>
      <w:r w:rsidRPr="005B67F6">
        <w:rPr>
          <w:kern w:val="32"/>
          <w:lang w:val="es-MX"/>
        </w:rPr>
        <w:t xml:space="preserve"> en este campo se apoya, fundamentalmente, en las herramientas que ofrecen las tecnologías de </w:t>
      </w:r>
      <w:r w:rsidR="005775F4">
        <w:rPr>
          <w:kern w:val="32"/>
          <w:lang w:val="es-MX"/>
        </w:rPr>
        <w:t xml:space="preserve">la </w:t>
      </w:r>
      <w:r w:rsidRPr="005B67F6">
        <w:rPr>
          <w:kern w:val="32"/>
          <w:lang w:val="es-MX"/>
        </w:rPr>
        <w:t>información y</w:t>
      </w:r>
      <w:r w:rsidR="005775F4">
        <w:rPr>
          <w:kern w:val="32"/>
          <w:lang w:val="es-MX"/>
        </w:rPr>
        <w:t xml:space="preserve"> la</w:t>
      </w:r>
      <w:r w:rsidRPr="005B67F6">
        <w:rPr>
          <w:kern w:val="32"/>
          <w:lang w:val="es-MX"/>
        </w:rPr>
        <w:t xml:space="preserve"> comunicación. En un esfuerzo por cubrir un público cada vez más amplio, se </w:t>
      </w:r>
      <w:r>
        <w:rPr>
          <w:kern w:val="32"/>
          <w:lang w:val="es-MX"/>
        </w:rPr>
        <w:t>fortalecerá</w:t>
      </w:r>
      <w:r w:rsidRPr="005B67F6">
        <w:rPr>
          <w:kern w:val="32"/>
          <w:lang w:val="es-MX"/>
        </w:rPr>
        <w:t xml:space="preserve"> la presencia en Internet, </w:t>
      </w:r>
      <w:r>
        <w:rPr>
          <w:kern w:val="32"/>
          <w:lang w:val="es-MX"/>
        </w:rPr>
        <w:t>mediante el rediseño</w:t>
      </w:r>
      <w:r w:rsidRPr="005B67F6">
        <w:rPr>
          <w:kern w:val="32"/>
          <w:lang w:val="es-MX"/>
        </w:rPr>
        <w:t xml:space="preserve"> del portal CERLALC </w:t>
      </w:r>
      <w:r>
        <w:rPr>
          <w:kern w:val="32"/>
          <w:lang w:val="es-MX"/>
        </w:rPr>
        <w:t>y la actividad en</w:t>
      </w:r>
      <w:r w:rsidRPr="005B67F6">
        <w:rPr>
          <w:kern w:val="32"/>
          <w:lang w:val="es-MX"/>
        </w:rPr>
        <w:t xml:space="preserve"> las redes sociales (Facebook</w:t>
      </w:r>
      <w:r>
        <w:rPr>
          <w:kern w:val="32"/>
          <w:lang w:val="es-MX"/>
        </w:rPr>
        <w:t>,</w:t>
      </w:r>
      <w:r w:rsidRPr="005B67F6">
        <w:rPr>
          <w:kern w:val="32"/>
          <w:lang w:val="es-MX"/>
        </w:rPr>
        <w:t xml:space="preserve"> Twitter</w:t>
      </w:r>
      <w:r>
        <w:rPr>
          <w:kern w:val="32"/>
          <w:lang w:val="es-MX"/>
        </w:rPr>
        <w:t>, Instagram</w:t>
      </w:r>
      <w:r w:rsidRPr="005B67F6">
        <w:rPr>
          <w:kern w:val="32"/>
          <w:lang w:val="es-MX"/>
        </w:rPr>
        <w:t xml:space="preserve">). El propósito es el de </w:t>
      </w:r>
      <w:r>
        <w:rPr>
          <w:kern w:val="32"/>
          <w:lang w:val="es-MX"/>
        </w:rPr>
        <w:t>potenciar</w:t>
      </w:r>
      <w:r w:rsidRPr="005B67F6">
        <w:rPr>
          <w:kern w:val="32"/>
          <w:lang w:val="es-MX"/>
        </w:rPr>
        <w:t xml:space="preserve"> la visibilidad de las acciones del </w:t>
      </w:r>
      <w:r w:rsidR="005775F4">
        <w:rPr>
          <w:kern w:val="32"/>
          <w:lang w:val="es-MX"/>
        </w:rPr>
        <w:t>Centro</w:t>
      </w:r>
      <w:r w:rsidRPr="005B67F6">
        <w:rPr>
          <w:kern w:val="32"/>
          <w:lang w:val="es-MX"/>
        </w:rPr>
        <w:t xml:space="preserve"> y su reconocimiento como organismo especializado en el mundo del libro y de la lectura. </w:t>
      </w:r>
    </w:p>
    <w:p w:rsidR="00E3477F" w:rsidRDefault="00E3477F" w:rsidP="005775F4">
      <w:pPr>
        <w:pStyle w:val="Ttulo2"/>
        <w:rPr>
          <w:kern w:val="32"/>
          <w:sz w:val="24"/>
        </w:rPr>
      </w:pPr>
      <w:bookmarkStart w:id="61" w:name="_Toc446949097"/>
      <w:bookmarkStart w:id="62" w:name="_Toc446949169"/>
      <w:bookmarkStart w:id="63" w:name="_Toc446953665"/>
      <w:r>
        <w:rPr>
          <w:kern w:val="32"/>
        </w:rPr>
        <w:t>Publicaciones</w:t>
      </w:r>
      <w:bookmarkEnd w:id="61"/>
      <w:bookmarkEnd w:id="62"/>
      <w:bookmarkEnd w:id="63"/>
    </w:p>
    <w:p w:rsidR="00E3477F" w:rsidRPr="007818C4" w:rsidRDefault="00E3477F" w:rsidP="005775F4">
      <w:pPr>
        <w:rPr>
          <w:kern w:val="32"/>
          <w:lang w:val="es-CO"/>
        </w:rPr>
      </w:pPr>
      <w:r w:rsidRPr="007818C4">
        <w:rPr>
          <w:kern w:val="32"/>
          <w:lang w:val="es-CO"/>
        </w:rPr>
        <w:t>El CERLALC tiene entre sus objetivos la producción y difusión de conocimiento sobre el mundo del libro. Como parte de sus actividades, el Centro produce contenidos destinados a hacerse públicos y a alcan</w:t>
      </w:r>
      <w:r w:rsidR="005775F4">
        <w:rPr>
          <w:kern w:val="32"/>
          <w:lang w:val="es-CO"/>
        </w:rPr>
        <w:t>zar la mayor difusión posible.</w:t>
      </w:r>
    </w:p>
    <w:p w:rsidR="00E3477F" w:rsidRPr="007818C4" w:rsidRDefault="00E3477F" w:rsidP="005775F4">
      <w:pPr>
        <w:rPr>
          <w:kern w:val="32"/>
          <w:lang w:val="es-CO"/>
        </w:rPr>
      </w:pPr>
      <w:r w:rsidRPr="007818C4">
        <w:rPr>
          <w:kern w:val="32"/>
          <w:lang w:val="es-CO"/>
        </w:rPr>
        <w:t xml:space="preserve">En el propósito de convertir al CERLALC en un centro de pensamiento, laboratorio de ideas o, si se quiere, en un espacio de observación y reflexión de lo que ocurre en el sector, resulta esencial fortalecer los canales para difundir conocimiento especializado, entre los cuales se encuentran las publicaciones del organismo. Las colecciones cuyo perfil se presenta a continuación están dirigidas a todos los actores que conforman la comunidad del libro, esto es, editores, libreros, bibliotecarios, maestros y mediadores de lectura en general, estudiosos del sector y funcionarios gubernamentales. </w:t>
      </w:r>
    </w:p>
    <w:p w:rsidR="00E3477F" w:rsidRPr="007818C4" w:rsidRDefault="00E3477F" w:rsidP="005775F4">
      <w:pPr>
        <w:rPr>
          <w:kern w:val="32"/>
          <w:lang w:val="es-CO"/>
        </w:rPr>
      </w:pPr>
      <w:r w:rsidRPr="00A96F34">
        <w:rPr>
          <w:i/>
          <w:kern w:val="32"/>
          <w:lang w:val="es-CO"/>
        </w:rPr>
        <w:lastRenderedPageBreak/>
        <w:t>Colección Breves</w:t>
      </w:r>
      <w:r w:rsidR="005775F4">
        <w:rPr>
          <w:i/>
          <w:kern w:val="32"/>
          <w:lang w:val="es-CO"/>
        </w:rPr>
        <w:t>.</w:t>
      </w:r>
      <w:r w:rsidRPr="007818C4">
        <w:rPr>
          <w:kern w:val="32"/>
          <w:lang w:val="es-CO"/>
        </w:rPr>
        <w:t xml:space="preserve"> Se publicarán aquí textos de análisis de carácter introductorio sobre la industri</w:t>
      </w:r>
      <w:bookmarkStart w:id="64" w:name="_GoBack"/>
      <w:bookmarkEnd w:id="64"/>
      <w:r w:rsidRPr="007818C4">
        <w:rPr>
          <w:kern w:val="32"/>
          <w:lang w:val="es-CO"/>
        </w:rPr>
        <w:t xml:space="preserve">a del libro, las bibliotecas, las librerías y la formación de lectores. Servirá también como espacio para ensayos, en el sentido lato del término, en los que los actores de la comunidad del libro reflexionen sobre su propio oficio, temas de carácter coyuntural o cuestiones relevantes relacionadas con aquello que, para ser comprensivos, hemos optado por llamar el ecosistema del libro. </w:t>
      </w:r>
    </w:p>
    <w:p w:rsidR="00E3477F" w:rsidRPr="007818C4" w:rsidRDefault="00E3477F" w:rsidP="005775F4">
      <w:pPr>
        <w:rPr>
          <w:kern w:val="32"/>
          <w:lang w:val="es-CO"/>
        </w:rPr>
      </w:pPr>
      <w:r w:rsidRPr="00A96F34">
        <w:rPr>
          <w:i/>
          <w:kern w:val="32"/>
          <w:lang w:val="es-CO"/>
        </w:rPr>
        <w:t xml:space="preserve">Colección Oficios del </w:t>
      </w:r>
      <w:r w:rsidR="005775F4">
        <w:rPr>
          <w:i/>
          <w:kern w:val="32"/>
          <w:lang w:val="es-CO"/>
        </w:rPr>
        <w:t>L</w:t>
      </w:r>
      <w:r w:rsidRPr="00A96F34">
        <w:rPr>
          <w:i/>
          <w:kern w:val="32"/>
          <w:lang w:val="es-CO"/>
        </w:rPr>
        <w:t xml:space="preserve">ibro y la </w:t>
      </w:r>
      <w:r w:rsidR="005775F4">
        <w:rPr>
          <w:i/>
          <w:kern w:val="32"/>
          <w:lang w:val="es-CO"/>
        </w:rPr>
        <w:t>L</w:t>
      </w:r>
      <w:r w:rsidRPr="00A96F34">
        <w:rPr>
          <w:i/>
          <w:kern w:val="32"/>
          <w:lang w:val="es-CO"/>
        </w:rPr>
        <w:t>ectura</w:t>
      </w:r>
      <w:r w:rsidR="005775F4">
        <w:rPr>
          <w:kern w:val="32"/>
          <w:lang w:val="es-CO"/>
        </w:rPr>
        <w:t>.</w:t>
      </w:r>
      <w:r w:rsidRPr="007818C4">
        <w:rPr>
          <w:kern w:val="32"/>
          <w:lang w:val="es-CO"/>
        </w:rPr>
        <w:t xml:space="preserve"> Una de las tareas del CERLALC es contribuir a la mejora de las prácticas de los actores que participan en la producción y circulación del libro y en la formación de lectores y escritores. La permanente actualización resulta aún más necesaria en un escenario en transición, que cambia permanentemente a tono con la penetración de innovaciones tecnológicas. Por tal razón, se plantea crear una colección en la que de forma periódica se brinden herramientas prácticas para docentes, bibliotecarios, promotores de lectura, editores, libreros y autores. El primer volumen de esta colección será el </w:t>
      </w:r>
      <w:r w:rsidRPr="005775F4">
        <w:rPr>
          <w:i/>
          <w:kern w:val="32"/>
          <w:lang w:val="es-CO"/>
        </w:rPr>
        <w:t>Manual de edición</w:t>
      </w:r>
      <w:r w:rsidRPr="007818C4">
        <w:rPr>
          <w:kern w:val="32"/>
          <w:lang w:val="es-CO"/>
        </w:rPr>
        <w:t>, de Manuel Gil.</w:t>
      </w:r>
    </w:p>
    <w:p w:rsidR="00E3477F" w:rsidRDefault="00E3477F" w:rsidP="005775F4">
      <w:pPr>
        <w:rPr>
          <w:kern w:val="32"/>
          <w:lang w:val="es-CO"/>
        </w:rPr>
      </w:pPr>
      <w:r w:rsidRPr="00A96F34">
        <w:rPr>
          <w:i/>
          <w:kern w:val="32"/>
          <w:lang w:val="es-CO"/>
        </w:rPr>
        <w:t>Colección Acervos</w:t>
      </w:r>
      <w:r w:rsidR="005775F4">
        <w:rPr>
          <w:i/>
          <w:kern w:val="32"/>
          <w:lang w:val="es-CO"/>
        </w:rPr>
        <w:t>.</w:t>
      </w:r>
      <w:r w:rsidRPr="007818C4">
        <w:rPr>
          <w:kern w:val="32"/>
          <w:lang w:val="es-CO"/>
        </w:rPr>
        <w:t xml:space="preserve"> La colección Acervos tiene el propósito de ofrecer una mirada comprensiva sobre temas de interés. Se publicarían volúmenes antológicos en los que un compilador invitado reuniría artículos de expertos para cubrir desde diferentes aristas un tema propuesto. </w:t>
      </w:r>
    </w:p>
    <w:p w:rsidR="00E3477F" w:rsidRPr="00245304" w:rsidRDefault="00E3477F" w:rsidP="005775F4">
      <w:pPr>
        <w:rPr>
          <w:kern w:val="32"/>
          <w:lang w:val="es-CO"/>
        </w:rPr>
      </w:pPr>
      <w:r>
        <w:rPr>
          <w:kern w:val="32"/>
          <w:lang w:val="es-CO"/>
        </w:rPr>
        <w:t>El CERLALC continuará</w:t>
      </w:r>
      <w:r w:rsidR="005775F4">
        <w:rPr>
          <w:kern w:val="32"/>
          <w:lang w:val="es-CO"/>
        </w:rPr>
        <w:t>, además,</w:t>
      </w:r>
      <w:r>
        <w:rPr>
          <w:kern w:val="32"/>
          <w:lang w:val="es-CO"/>
        </w:rPr>
        <w:t xml:space="preserve"> con la publicación de </w:t>
      </w:r>
      <w:r w:rsidR="005775F4">
        <w:rPr>
          <w:kern w:val="32"/>
          <w:lang w:val="es-CO"/>
        </w:rPr>
        <w:t>libros y boletines con una</w:t>
      </w:r>
      <w:r>
        <w:rPr>
          <w:kern w:val="32"/>
          <w:lang w:val="es-CO"/>
        </w:rPr>
        <w:t xml:space="preserve"> larga tradición en el sector: </w:t>
      </w:r>
      <w:r w:rsidRPr="005775F4">
        <w:rPr>
          <w:i/>
          <w:kern w:val="32"/>
          <w:lang w:val="es-CO"/>
        </w:rPr>
        <w:t xml:space="preserve">El </w:t>
      </w:r>
      <w:r w:rsidR="005775F4" w:rsidRPr="005775F4">
        <w:rPr>
          <w:i/>
          <w:kern w:val="32"/>
          <w:lang w:val="es-CO"/>
        </w:rPr>
        <w:t>espacio i</w:t>
      </w:r>
      <w:r w:rsidRPr="005775F4">
        <w:rPr>
          <w:i/>
          <w:kern w:val="32"/>
          <w:lang w:val="es-CO"/>
        </w:rPr>
        <w:t xml:space="preserve">beroamericano del </w:t>
      </w:r>
      <w:r w:rsidR="005775F4" w:rsidRPr="005775F4">
        <w:rPr>
          <w:i/>
          <w:kern w:val="32"/>
          <w:lang w:val="es-CO"/>
        </w:rPr>
        <w:t>l</w:t>
      </w:r>
      <w:r w:rsidRPr="005775F4">
        <w:rPr>
          <w:i/>
          <w:kern w:val="32"/>
          <w:lang w:val="es-CO"/>
        </w:rPr>
        <w:t>ibro</w:t>
      </w:r>
      <w:r w:rsidRPr="00245304">
        <w:rPr>
          <w:kern w:val="32"/>
          <w:lang w:val="es-CO"/>
        </w:rPr>
        <w:t>, publicación bienal que recoge las principales cifras de evolución del sector</w:t>
      </w:r>
      <w:r w:rsidR="005775F4">
        <w:rPr>
          <w:kern w:val="32"/>
          <w:lang w:val="es-CO"/>
        </w:rPr>
        <w:t>,</w:t>
      </w:r>
      <w:r w:rsidRPr="00245304">
        <w:rPr>
          <w:kern w:val="32"/>
          <w:lang w:val="es-CO"/>
        </w:rPr>
        <w:t xml:space="preserve"> y el </w:t>
      </w:r>
      <w:r w:rsidR="005775F4">
        <w:rPr>
          <w:kern w:val="32"/>
          <w:lang w:val="es-CO"/>
        </w:rPr>
        <w:t>b</w:t>
      </w:r>
      <w:r w:rsidRPr="00245304">
        <w:rPr>
          <w:kern w:val="32"/>
          <w:lang w:val="es-CO"/>
        </w:rPr>
        <w:t>oletín</w:t>
      </w:r>
      <w:r w:rsidR="005775F4">
        <w:rPr>
          <w:kern w:val="32"/>
          <w:lang w:val="es-CO"/>
        </w:rPr>
        <w:t xml:space="preserve"> semestral</w:t>
      </w:r>
      <w:r w:rsidRPr="00245304">
        <w:rPr>
          <w:kern w:val="32"/>
          <w:lang w:val="es-CO"/>
        </w:rPr>
        <w:t xml:space="preserve"> </w:t>
      </w:r>
      <w:r w:rsidRPr="00245304">
        <w:rPr>
          <w:i/>
          <w:kern w:val="32"/>
          <w:lang w:val="es-CO"/>
        </w:rPr>
        <w:t xml:space="preserve">El </w:t>
      </w:r>
      <w:r w:rsidR="005775F4">
        <w:rPr>
          <w:i/>
          <w:kern w:val="32"/>
          <w:lang w:val="es-CO"/>
        </w:rPr>
        <w:t>l</w:t>
      </w:r>
      <w:r w:rsidRPr="00245304">
        <w:rPr>
          <w:i/>
          <w:kern w:val="32"/>
          <w:lang w:val="es-CO"/>
        </w:rPr>
        <w:t>ibro en cifras</w:t>
      </w:r>
      <w:r w:rsidRPr="005775F4">
        <w:rPr>
          <w:kern w:val="32"/>
          <w:lang w:val="es-CO"/>
        </w:rPr>
        <w:t xml:space="preserve"> sobre la dinámica del sector en la coyuntura</w:t>
      </w:r>
      <w:r w:rsidRPr="00245304">
        <w:rPr>
          <w:i/>
          <w:kern w:val="32"/>
          <w:lang w:val="es-CO"/>
        </w:rPr>
        <w:t>.</w:t>
      </w:r>
    </w:p>
    <w:p w:rsidR="009A6C8F" w:rsidRDefault="005775F4" w:rsidP="005775F4">
      <w:pPr>
        <w:rPr>
          <w:kern w:val="32"/>
          <w:lang w:val="es-CO"/>
        </w:rPr>
        <w:sectPr w:rsidR="009A6C8F" w:rsidSect="000F52C5">
          <w:headerReference w:type="even" r:id="rId15"/>
          <w:pgSz w:w="11907" w:h="16839" w:code="9"/>
          <w:pgMar w:top="1871" w:right="2211" w:bottom="1531" w:left="2495" w:header="851" w:footer="0" w:gutter="0"/>
          <w:cols w:space="720"/>
          <w:noEndnote/>
          <w:docGrid w:linePitch="340"/>
        </w:sectPr>
      </w:pPr>
      <w:r>
        <w:rPr>
          <w:kern w:val="32"/>
          <w:lang w:val="es-CO"/>
        </w:rPr>
        <w:t xml:space="preserve">Se </w:t>
      </w:r>
      <w:r w:rsidR="00E3477F" w:rsidRPr="00245304">
        <w:rPr>
          <w:kern w:val="32"/>
          <w:lang w:val="es-CO"/>
        </w:rPr>
        <w:t xml:space="preserve">propone la reactivación de una publicación virtual que recoja los debates y puntos de vista sobre temas de importancia estratégica para el mundo del libro. Se </w:t>
      </w:r>
      <w:r>
        <w:rPr>
          <w:kern w:val="32"/>
          <w:lang w:val="es-CO"/>
        </w:rPr>
        <w:t>trata de</w:t>
      </w:r>
      <w:r w:rsidR="00E3477F" w:rsidRPr="00245304">
        <w:rPr>
          <w:kern w:val="32"/>
          <w:lang w:val="es-CO"/>
        </w:rPr>
        <w:t xml:space="preserve"> la publicación semestral de la revista virtual </w:t>
      </w:r>
      <w:r w:rsidR="00E3477F" w:rsidRPr="00245304">
        <w:rPr>
          <w:i/>
          <w:kern w:val="32"/>
          <w:lang w:val="es-CO"/>
        </w:rPr>
        <w:t>Pensar el libro</w:t>
      </w:r>
      <w:r w:rsidR="00E3477F" w:rsidRPr="00245304">
        <w:rPr>
          <w:kern w:val="32"/>
          <w:lang w:val="es-CO"/>
        </w:rPr>
        <w:t xml:space="preserve"> que</w:t>
      </w:r>
      <w:r>
        <w:rPr>
          <w:kern w:val="32"/>
          <w:lang w:val="es-CO"/>
        </w:rPr>
        <w:t>,</w:t>
      </w:r>
      <w:r w:rsidR="00E3477F" w:rsidRPr="00245304">
        <w:rPr>
          <w:kern w:val="32"/>
          <w:lang w:val="es-CO"/>
        </w:rPr>
        <w:t xml:space="preserve"> en cada edición</w:t>
      </w:r>
      <w:r>
        <w:rPr>
          <w:kern w:val="32"/>
          <w:lang w:val="es-CO"/>
        </w:rPr>
        <w:t>,</w:t>
      </w:r>
      <w:r w:rsidR="00E3477F" w:rsidRPr="00245304">
        <w:rPr>
          <w:kern w:val="32"/>
          <w:lang w:val="es-CO"/>
        </w:rPr>
        <w:t xml:space="preserve"> </w:t>
      </w:r>
      <w:r w:rsidR="009A6C8F">
        <w:rPr>
          <w:kern w:val="32"/>
          <w:lang w:val="es-CO"/>
        </w:rPr>
        <w:t>abordará</w:t>
      </w:r>
      <w:r w:rsidR="00E3477F" w:rsidRPr="00245304">
        <w:rPr>
          <w:kern w:val="32"/>
          <w:lang w:val="es-CO"/>
        </w:rPr>
        <w:t xml:space="preserve"> un tema de interés y convocará a expertos </w:t>
      </w:r>
      <w:r>
        <w:rPr>
          <w:kern w:val="32"/>
          <w:lang w:val="es-CO"/>
        </w:rPr>
        <w:t>para que escriban sobre éste</w:t>
      </w:r>
      <w:r w:rsidR="00E3477F" w:rsidRPr="00245304">
        <w:rPr>
          <w:kern w:val="32"/>
          <w:lang w:val="es-CO"/>
        </w:rPr>
        <w:t>.</w:t>
      </w:r>
    </w:p>
    <w:p w:rsidR="00E3477F" w:rsidRPr="00245304" w:rsidRDefault="009A6C8F" w:rsidP="009A6C8F">
      <w:pPr>
        <w:pStyle w:val="Ttulo1"/>
      </w:pPr>
      <w:bookmarkStart w:id="65" w:name="_Toc446953666"/>
      <w:r>
        <w:lastRenderedPageBreak/>
        <w:t>R</w:t>
      </w:r>
      <w:r w:rsidRPr="009A6C8F">
        <w:t>esultados  esperados y actividades del Programa Técnico del CERLALC 2016-2017</w:t>
      </w:r>
      <w:bookmarkEnd w:id="65"/>
    </w:p>
    <w:tbl>
      <w:tblPr>
        <w:tblW w:w="15660" w:type="dxa"/>
        <w:tblInd w:w="49" w:type="dxa"/>
        <w:tblCellMar>
          <w:left w:w="70" w:type="dxa"/>
          <w:right w:w="70" w:type="dxa"/>
        </w:tblCellMar>
        <w:tblLook w:val="04A0"/>
      </w:tblPr>
      <w:tblGrid>
        <w:gridCol w:w="3000"/>
        <w:gridCol w:w="3500"/>
        <w:gridCol w:w="3220"/>
        <w:gridCol w:w="4040"/>
        <w:gridCol w:w="1900"/>
      </w:tblGrid>
      <w:tr w:rsidR="008D73D3" w:rsidRPr="00704383" w:rsidTr="00FE5EF3">
        <w:trPr>
          <w:trHeight w:val="345"/>
        </w:trPr>
        <w:tc>
          <w:tcPr>
            <w:tcW w:w="15660"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1. El CERLALC al servicio de la región</w:t>
            </w:r>
          </w:p>
        </w:tc>
      </w:tr>
      <w:tr w:rsidR="008D73D3" w:rsidRPr="00704383" w:rsidTr="00FE5EF3">
        <w:trPr>
          <w:trHeight w:val="330"/>
        </w:trPr>
        <w:tc>
          <w:tcPr>
            <w:tcW w:w="15660" w:type="dxa"/>
            <w:gridSpan w:val="5"/>
            <w:tcBorders>
              <w:top w:val="nil"/>
              <w:left w:val="single" w:sz="8" w:space="0" w:color="auto"/>
              <w:bottom w:val="single" w:sz="4" w:space="0" w:color="auto"/>
              <w:right w:val="single" w:sz="8" w:space="0" w:color="000000"/>
            </w:tcBorders>
            <w:shd w:val="clear" w:color="000000" w:fill="95B3D7"/>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Asistencia Técnica a los países miembros del CERLALC</w:t>
            </w:r>
          </w:p>
        </w:tc>
      </w:tr>
      <w:tr w:rsidR="008D73D3" w:rsidRPr="008D73D3" w:rsidTr="00FE5EF3">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FE5EF3" w:rsidRDefault="008D73D3" w:rsidP="008D73D3">
            <w:pPr>
              <w:spacing w:after="0" w:line="240" w:lineRule="auto"/>
              <w:jc w:val="center"/>
              <w:rPr>
                <w:rFonts w:ascii="Myriad Pro" w:eastAsia="Times New Roman" w:hAnsi="Myriad Pro"/>
                <w:b/>
                <w:bCs/>
                <w:color w:val="000000"/>
                <w:sz w:val="22"/>
                <w:szCs w:val="23"/>
                <w:lang w:val="es-ES" w:eastAsia="es-ES"/>
              </w:rPr>
            </w:pPr>
            <w:r w:rsidRPr="00FE5EF3">
              <w:rPr>
                <w:rFonts w:ascii="Myriad Pro" w:eastAsia="Times New Roman" w:hAnsi="Myriad Pro"/>
                <w:b/>
                <w:bCs/>
                <w:color w:val="000000"/>
                <w:sz w:val="22"/>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FE5EF3" w:rsidRDefault="008D73D3" w:rsidP="008D73D3">
            <w:pPr>
              <w:spacing w:after="0" w:line="240" w:lineRule="auto"/>
              <w:jc w:val="center"/>
              <w:rPr>
                <w:rFonts w:ascii="Myriad Pro" w:eastAsia="Times New Roman" w:hAnsi="Myriad Pro"/>
                <w:b/>
                <w:bCs/>
                <w:color w:val="000000"/>
                <w:sz w:val="22"/>
                <w:szCs w:val="23"/>
                <w:lang w:val="es-ES" w:eastAsia="es-ES"/>
              </w:rPr>
            </w:pPr>
            <w:r w:rsidRPr="00FE5EF3">
              <w:rPr>
                <w:rFonts w:ascii="Myriad Pro" w:eastAsia="Times New Roman" w:hAnsi="Myriad Pro"/>
                <w:b/>
                <w:bCs/>
                <w:color w:val="000000"/>
                <w:sz w:val="22"/>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FE5EF3" w:rsidRDefault="008D73D3" w:rsidP="008D73D3">
            <w:pPr>
              <w:spacing w:after="0" w:line="240" w:lineRule="auto"/>
              <w:jc w:val="center"/>
              <w:rPr>
                <w:rFonts w:ascii="Myriad Pro" w:eastAsia="Times New Roman" w:hAnsi="Myriad Pro"/>
                <w:b/>
                <w:bCs/>
                <w:color w:val="000000"/>
                <w:sz w:val="22"/>
                <w:szCs w:val="23"/>
                <w:lang w:val="es-ES" w:eastAsia="es-ES"/>
              </w:rPr>
            </w:pPr>
            <w:r w:rsidRPr="00FE5EF3">
              <w:rPr>
                <w:rFonts w:ascii="Myriad Pro" w:eastAsia="Times New Roman" w:hAnsi="Myriad Pro"/>
                <w:b/>
                <w:bCs/>
                <w:color w:val="000000"/>
                <w:sz w:val="22"/>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FE5EF3" w:rsidRDefault="008D73D3" w:rsidP="008D73D3">
            <w:pPr>
              <w:spacing w:after="0" w:line="240" w:lineRule="auto"/>
              <w:jc w:val="center"/>
              <w:rPr>
                <w:rFonts w:ascii="Myriad Pro" w:eastAsia="Times New Roman" w:hAnsi="Myriad Pro"/>
                <w:b/>
                <w:bCs/>
                <w:color w:val="000000"/>
                <w:sz w:val="22"/>
                <w:szCs w:val="23"/>
                <w:lang w:val="es-ES" w:eastAsia="es-ES"/>
              </w:rPr>
            </w:pPr>
            <w:r w:rsidRPr="00FE5EF3">
              <w:rPr>
                <w:rFonts w:ascii="Myriad Pro" w:eastAsia="Times New Roman" w:hAnsi="Myriad Pro"/>
                <w:b/>
                <w:bCs/>
                <w:color w:val="000000"/>
                <w:sz w:val="22"/>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FE5EF3" w:rsidRDefault="008D73D3" w:rsidP="008D73D3">
            <w:pPr>
              <w:spacing w:after="0" w:line="240" w:lineRule="auto"/>
              <w:jc w:val="center"/>
              <w:rPr>
                <w:rFonts w:ascii="Myriad Pro" w:eastAsia="Times New Roman" w:hAnsi="Myriad Pro"/>
                <w:b/>
                <w:bCs/>
                <w:color w:val="000000"/>
                <w:sz w:val="22"/>
                <w:szCs w:val="23"/>
                <w:lang w:val="es-ES" w:eastAsia="es-ES"/>
              </w:rPr>
            </w:pPr>
            <w:r w:rsidRPr="00FE5EF3">
              <w:rPr>
                <w:rFonts w:ascii="Myriad Pro" w:eastAsia="Times New Roman" w:hAnsi="Myriad Pro"/>
                <w:b/>
                <w:bCs/>
                <w:color w:val="000000"/>
                <w:sz w:val="22"/>
                <w:szCs w:val="23"/>
                <w:lang w:val="es-ES" w:eastAsia="es-ES"/>
              </w:rPr>
              <w:t>Objetivo de referencia</w:t>
            </w:r>
          </w:p>
        </w:tc>
      </w:tr>
      <w:tr w:rsidR="008D73D3" w:rsidRPr="008D73D3" w:rsidTr="00FE5EF3">
        <w:trPr>
          <w:trHeight w:val="900"/>
        </w:trPr>
        <w:tc>
          <w:tcPr>
            <w:tcW w:w="3000" w:type="dxa"/>
            <w:vMerge w:val="restart"/>
            <w:tcBorders>
              <w:top w:val="nil"/>
              <w:left w:val="single" w:sz="8" w:space="0" w:color="auto"/>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center"/>
              <w:rPr>
                <w:rFonts w:ascii="Myriad Pro" w:eastAsia="Times New Roman" w:hAnsi="Myriad Pro"/>
                <w:b/>
                <w:bCs/>
                <w:color w:val="000000"/>
                <w:sz w:val="23"/>
                <w:szCs w:val="23"/>
                <w:lang w:val="es-ES" w:eastAsia="es-ES"/>
              </w:rPr>
            </w:pPr>
            <w:r w:rsidRPr="00FE5EF3">
              <w:rPr>
                <w:rFonts w:ascii="Myriad Pro" w:eastAsia="Times New Roman" w:hAnsi="Myriad Pro"/>
                <w:b/>
                <w:bCs/>
                <w:color w:val="000000"/>
                <w:sz w:val="23"/>
                <w:szCs w:val="23"/>
                <w:lang w:val="es-ES" w:eastAsia="es-ES"/>
              </w:rPr>
              <w:t>Políticas nacionales del libro y la lectura (PNLL)</w:t>
            </w:r>
          </w:p>
        </w:tc>
        <w:tc>
          <w:tcPr>
            <w:tcW w:w="350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El CERLALC formaliza acciones con los países para la revisión de las PNLL</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Agenda de contactos con los organismos de enlace</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Número de contactos establecidos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single" w:sz="4" w:space="0" w:color="auto"/>
              <w:right w:val="single" w:sz="4" w:space="0" w:color="auto"/>
            </w:tcBorders>
            <w:vAlign w:val="center"/>
            <w:hideMark/>
          </w:tcPr>
          <w:p w:rsidR="008D73D3" w:rsidRPr="00FE5EF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Estado del arte de las  políticas nacionales del libro y la lectura</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Elaboración de documento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8D73D3" w:rsidTr="00FE5EF3">
        <w:trPr>
          <w:trHeight w:val="1500"/>
        </w:trPr>
        <w:tc>
          <w:tcPr>
            <w:tcW w:w="3000" w:type="dxa"/>
            <w:vMerge/>
            <w:tcBorders>
              <w:top w:val="nil"/>
              <w:left w:val="single" w:sz="8" w:space="0" w:color="auto"/>
              <w:bottom w:val="single" w:sz="4" w:space="0" w:color="auto"/>
              <w:right w:val="single" w:sz="4" w:space="0" w:color="auto"/>
            </w:tcBorders>
            <w:vAlign w:val="center"/>
            <w:hideMark/>
          </w:tcPr>
          <w:p w:rsidR="008D73D3" w:rsidRPr="00FE5EF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 xml:space="preserve">Intensificación de acciones con países que han solicitado asistencia </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 xml:space="preserve">Agenda de contactos y plan de acción con los países </w:t>
            </w:r>
          </w:p>
        </w:tc>
        <w:tc>
          <w:tcPr>
            <w:tcW w:w="4040" w:type="dxa"/>
            <w:tcBorders>
              <w:top w:val="nil"/>
              <w:left w:val="nil"/>
              <w:bottom w:val="nil"/>
              <w:right w:val="nil"/>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Descripción detallada de las actividades realizadas con los países interesados</w:t>
            </w:r>
          </w:p>
        </w:tc>
        <w:tc>
          <w:tcPr>
            <w:tcW w:w="1900" w:type="dxa"/>
            <w:tcBorders>
              <w:top w:val="nil"/>
              <w:left w:val="single" w:sz="4" w:space="0" w:color="auto"/>
              <w:bottom w:val="single" w:sz="4" w:space="0" w:color="auto"/>
              <w:right w:val="single" w:sz="8"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8D73D3" w:rsidTr="00FE5EF3">
        <w:trPr>
          <w:trHeight w:val="1500"/>
        </w:trPr>
        <w:tc>
          <w:tcPr>
            <w:tcW w:w="3000" w:type="dxa"/>
            <w:vMerge w:val="restart"/>
            <w:tcBorders>
              <w:top w:val="nil"/>
              <w:left w:val="single" w:sz="8" w:space="0" w:color="auto"/>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center"/>
              <w:rPr>
                <w:rFonts w:ascii="Myriad Pro" w:eastAsia="Times New Roman" w:hAnsi="Myriad Pro"/>
                <w:b/>
                <w:bCs/>
                <w:color w:val="000000"/>
                <w:sz w:val="23"/>
                <w:szCs w:val="23"/>
                <w:lang w:val="es-ES" w:eastAsia="es-ES"/>
              </w:rPr>
            </w:pPr>
            <w:r w:rsidRPr="00FE5EF3">
              <w:rPr>
                <w:rFonts w:ascii="Myriad Pro" w:eastAsia="Times New Roman" w:hAnsi="Myriad Pro"/>
                <w:b/>
                <w:bCs/>
                <w:color w:val="000000"/>
                <w:sz w:val="23"/>
                <w:szCs w:val="23"/>
                <w:lang w:val="es-ES" w:eastAsia="es-ES"/>
              </w:rPr>
              <w:t>Diseño de planes nacionales y locales de lectura (PNL)</w:t>
            </w:r>
          </w:p>
        </w:tc>
        <w:tc>
          <w:tcPr>
            <w:tcW w:w="350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Apoyo a la actualización de los PNL en los países que ya cuentan con estos</w:t>
            </w:r>
          </w:p>
        </w:tc>
        <w:tc>
          <w:tcPr>
            <w:tcW w:w="322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Reactivación de la Red Iberoamericana de responsables de políticas y planes de lectura (Redplanes)</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Reuniones virtuales de Redplanes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8D73D3" w:rsidTr="00FE5EF3">
        <w:trPr>
          <w:trHeight w:val="1200"/>
        </w:trPr>
        <w:tc>
          <w:tcPr>
            <w:tcW w:w="3000" w:type="dxa"/>
            <w:vMerge/>
            <w:tcBorders>
              <w:top w:val="single" w:sz="4" w:space="0" w:color="auto"/>
              <w:left w:val="single" w:sz="8" w:space="0" w:color="auto"/>
              <w:bottom w:val="single" w:sz="4" w:space="0" w:color="auto"/>
              <w:right w:val="single" w:sz="4" w:space="0" w:color="auto"/>
            </w:tcBorders>
            <w:vAlign w:val="center"/>
            <w:hideMark/>
          </w:tcPr>
          <w:p w:rsidR="008D73D3" w:rsidRPr="00FE5EF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single" w:sz="4" w:space="0" w:color="auto"/>
              <w:left w:val="nil"/>
              <w:bottom w:val="single" w:sz="4" w:space="0" w:color="auto"/>
              <w:right w:val="single" w:sz="4" w:space="0" w:color="auto"/>
            </w:tcBorders>
            <w:shd w:val="clear" w:color="auto" w:fill="auto"/>
            <w:vAlign w:val="center"/>
            <w:hideMark/>
          </w:tcPr>
          <w:p w:rsidR="008D73D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Apoyo al diseño de PNL en los países que no cuentan con el mismo</w:t>
            </w:r>
          </w:p>
          <w:p w:rsidR="00B803F0" w:rsidRPr="00FE5EF3" w:rsidRDefault="00B803F0"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Agenda de contactos y plan de acción con los países que aún no tienen PNL</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Número de países que ingresaron a Redplanes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704383" w:rsidTr="00FE5EF3">
        <w:trPr>
          <w:trHeight w:val="1500"/>
        </w:trPr>
        <w:tc>
          <w:tcPr>
            <w:tcW w:w="3000"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8D73D3" w:rsidRPr="008D73D3" w:rsidRDefault="00B803F0" w:rsidP="00B803F0">
            <w:pPr>
              <w:spacing w:after="0" w:line="240" w:lineRule="auto"/>
              <w:jc w:val="center"/>
              <w:rPr>
                <w:rFonts w:ascii="Myriad Pro" w:eastAsia="Times New Roman" w:hAnsi="Myriad Pro"/>
                <w:b/>
                <w:bCs/>
                <w:color w:val="000000"/>
                <w:sz w:val="23"/>
                <w:szCs w:val="23"/>
                <w:lang w:val="es-ES" w:eastAsia="es-ES"/>
              </w:rPr>
            </w:pPr>
            <w:r w:rsidRPr="00FE5EF3">
              <w:rPr>
                <w:rFonts w:ascii="Myriad Pro" w:eastAsia="Times New Roman" w:hAnsi="Myriad Pro"/>
                <w:b/>
                <w:bCs/>
                <w:color w:val="000000"/>
                <w:sz w:val="23"/>
                <w:szCs w:val="23"/>
                <w:lang w:val="es-ES" w:eastAsia="es-ES"/>
              </w:rPr>
              <w:lastRenderedPageBreak/>
              <w:t>Diseño de planes nacionales y locales de lectura (PNL)</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Intensificación de acciones con países que han solicitado asistencia </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Agenda de contactos y plan de acción con los países que aún no tienen PNL</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acciones realizadas con los países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Costa Rica, Guatemala, Perú y Uruguay</w:t>
            </w:r>
          </w:p>
        </w:tc>
      </w:tr>
      <w:tr w:rsidR="008D73D3" w:rsidRPr="008D73D3" w:rsidTr="00FE5EF3">
        <w:trPr>
          <w:trHeight w:val="9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Propuesta preliminar de un nuevo Plan Iberoamericano de Lectura 2018-2022</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 documento base y discusión con países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preliminar del Plan</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A24B3F">
        <w:trPr>
          <w:trHeight w:val="15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Actualización del documento </w:t>
            </w:r>
            <w:r w:rsidRPr="008D73D3">
              <w:rPr>
                <w:rFonts w:ascii="Myriad Pro" w:eastAsia="Times New Roman" w:hAnsi="Myriad Pro"/>
                <w:i/>
                <w:iCs/>
                <w:color w:val="000000"/>
                <w:sz w:val="23"/>
                <w:szCs w:val="23"/>
                <w:lang w:val="es-ES" w:eastAsia="es-ES"/>
              </w:rPr>
              <w:t xml:space="preserve">Una región de lectores que crece. Análisis comparado de planes nacionales de lectura en Iberoamérica </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Recolección de información, elaboración del documento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actualizado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A24B3F">
        <w:trPr>
          <w:trHeight w:val="600"/>
        </w:trPr>
        <w:tc>
          <w:tcPr>
            <w:tcW w:w="300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Revisión de normativas relacionadas con libro, lectura, bibliotecas y derecho de autor</w:t>
            </w:r>
          </w:p>
        </w:tc>
        <w:tc>
          <w:tcPr>
            <w:tcW w:w="350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Actualización de la base de datos de normativa</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 actualizada</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 publicada en los observatorios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que recopila la información sobre normativa</w:t>
            </w:r>
          </w:p>
        </w:tc>
        <w:tc>
          <w:tcPr>
            <w:tcW w:w="3220" w:type="dxa"/>
            <w:tcBorders>
              <w:top w:val="nil"/>
              <w:left w:val="nil"/>
              <w:bottom w:val="nil"/>
              <w:right w:val="nil"/>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 documento</w:t>
            </w:r>
          </w:p>
        </w:tc>
        <w:tc>
          <w:tcPr>
            <w:tcW w:w="4040" w:type="dxa"/>
            <w:tcBorders>
              <w:top w:val="nil"/>
              <w:left w:val="single" w:sz="4"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Divulgación de documento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 CERLALC trabaja con los países en la actualización de normativas</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Agenda de contactos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Número de contactos establecidos y sus resultados </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8D73D3" w:rsidTr="00A24B3F">
        <w:trPr>
          <w:trHeight w:val="18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Asistencia técnica a países que la demanden</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Plan de actividades con países demandantes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con descripción de actividades y resultados en cada uno de los países demandantes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8D73D3" w:rsidTr="00A24B3F">
        <w:trPr>
          <w:trHeight w:val="1200"/>
        </w:trPr>
        <w:tc>
          <w:tcPr>
            <w:tcW w:w="300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Asistencia técnica en el diseño y análisis de estudios de comportamiento lector</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Actualización de la base de datos estadísticos sobre encuestas de lectura y documento analítico</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Recolección y análisis de información</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 actualizada y documento publicado</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Difusión de la metodología de comportamiento lector</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Agenda de acciones con los países de la región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actividades realizadas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Agenda de contactos con los organismos de enlace </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contactos en cada uno de los países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contactos realizados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Propuesta de medición del comportamiento lector</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Preparación de modelo de estrategia de medición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con la propuesta</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12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Plan de actividades con los países que solicitaron apoyo</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Agenda de relacionamiento con los países interesados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Número y descripción de actividades </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8D73D3" w:rsidTr="00FE5EF3">
        <w:trPr>
          <w:trHeight w:val="12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 proyecto de medición regional para gobiernos de países miembros y organismos multilaterales</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Preparación de documento del proyecto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Proyecto preparado y presentado a consideración de los gobiernos y de organismos multilaterales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AA1EF5" w:rsidRPr="008D73D3" w:rsidTr="00607EEB">
        <w:trPr>
          <w:trHeight w:val="900"/>
        </w:trPr>
        <w:tc>
          <w:tcPr>
            <w:tcW w:w="3000" w:type="dxa"/>
            <w:vMerge w:val="restart"/>
            <w:tcBorders>
              <w:top w:val="nil"/>
              <w:left w:val="single" w:sz="8" w:space="0" w:color="auto"/>
              <w:right w:val="single" w:sz="4" w:space="0" w:color="auto"/>
            </w:tcBorders>
            <w:shd w:val="clear" w:color="auto" w:fill="auto"/>
            <w:vAlign w:val="center"/>
            <w:hideMark/>
          </w:tcPr>
          <w:p w:rsidR="00AA1EF5" w:rsidRPr="008D73D3" w:rsidRDefault="00AA1EF5"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Asistencia técnica en temas relacionados con el derecho de autor</w:t>
            </w:r>
          </w:p>
        </w:tc>
        <w:tc>
          <w:tcPr>
            <w:tcW w:w="350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 CERLALC trabaja con los países en la identificación de temas de interés</w:t>
            </w:r>
          </w:p>
        </w:tc>
        <w:tc>
          <w:tcPr>
            <w:tcW w:w="322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Propuesta de temas y agenda de contactos</w:t>
            </w:r>
          </w:p>
        </w:tc>
        <w:tc>
          <w:tcPr>
            <w:tcW w:w="404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Número de contactos establecidos y sus resultados </w:t>
            </w:r>
          </w:p>
        </w:tc>
        <w:tc>
          <w:tcPr>
            <w:tcW w:w="1900" w:type="dxa"/>
            <w:tcBorders>
              <w:top w:val="nil"/>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AA1EF5" w:rsidRPr="008D73D3" w:rsidTr="00AA1EF5">
        <w:trPr>
          <w:trHeight w:val="600"/>
        </w:trPr>
        <w:tc>
          <w:tcPr>
            <w:tcW w:w="3000" w:type="dxa"/>
            <w:vMerge/>
            <w:tcBorders>
              <w:left w:val="single" w:sz="8" w:space="0" w:color="auto"/>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single" w:sz="4" w:space="0" w:color="auto"/>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Agenda de contactos con los organismos de enlace </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contactos en cada uno de los países</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contactos realizados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AA1EF5">
        <w:trPr>
          <w:trHeight w:val="900"/>
        </w:trPr>
        <w:tc>
          <w:tcPr>
            <w:tcW w:w="3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3D3" w:rsidRPr="008D73D3" w:rsidRDefault="00AA1EF5" w:rsidP="00AA1EF5">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Asistencia técnica en temas relacionados con el derecho de autor</w:t>
            </w:r>
          </w:p>
        </w:tc>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Asistencia técnica a países que la demanden</w:t>
            </w:r>
          </w:p>
        </w:tc>
        <w:tc>
          <w:tcPr>
            <w:tcW w:w="3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Plan de actividades con países demandantes</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con descripción de actividades y resultados en cada uno de los países demandantes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8D73D3" w:rsidTr="00AA1EF5">
        <w:trPr>
          <w:trHeight w:val="900"/>
        </w:trPr>
        <w:tc>
          <w:tcPr>
            <w:tcW w:w="300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Asistencia técnica en el diseño y análisis de diagnósticos del sector editorial</w:t>
            </w:r>
          </w:p>
        </w:tc>
        <w:tc>
          <w:tcPr>
            <w:tcW w:w="350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 CERLALC trabaja con los países en la identificación de temas de interés</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Propuesta de temas y agenda de contactos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contactos establecidos y sus resultados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de propuesta modelo para la realización de los estudios</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base de la propuesta</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Agenda de contactos con los organismos de enlace </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contactos en cada uno de los países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contactos realizados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Asistencia técnica a países que la demanden</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Plan de actividades con países demandantes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con descripción de actividades y resultados en cada uno de los países demandantes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Países seleccionados</w:t>
            </w:r>
          </w:p>
        </w:tc>
      </w:tr>
      <w:tr w:rsidR="008D73D3" w:rsidRPr="00704383" w:rsidTr="00AA1EF5">
        <w:trPr>
          <w:trHeight w:val="2010"/>
        </w:trPr>
        <w:tc>
          <w:tcPr>
            <w:tcW w:w="3000" w:type="dxa"/>
            <w:vMerge w:val="restart"/>
            <w:tcBorders>
              <w:top w:val="nil"/>
              <w:left w:val="single" w:sz="8" w:space="0" w:color="auto"/>
              <w:bottom w:val="single" w:sz="4" w:space="0" w:color="000000"/>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Fortalecimiento del registro de la producción editorial en la región</w:t>
            </w: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Actualización de  convenios de cooperación con las agencias nacionales del ISBN de diecisiete (17) países</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Formalizar los convenios y aportes con diecisiete (17) países de la región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convenios actualizados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17 países miembros (se exceptúan España, Portugal, Brasil y Argentina)</w:t>
            </w:r>
          </w:p>
        </w:tc>
      </w:tr>
      <w:tr w:rsidR="008D73D3" w:rsidRPr="008D73D3" w:rsidTr="00AA1EF5">
        <w:trPr>
          <w:trHeight w:val="117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Desarrollo de la versión RISBN 5.3</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Pruebas, instalación y migración del RISBN 5.3 en diecisiete (17) agencias ISBN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Software RISBN 5.3  actualizado</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17 países</w:t>
            </w:r>
          </w:p>
        </w:tc>
      </w:tr>
      <w:tr w:rsidR="008D73D3" w:rsidRPr="008D73D3" w:rsidTr="00AA1EF5">
        <w:trPr>
          <w:trHeight w:val="1680"/>
        </w:trPr>
        <w:tc>
          <w:tcPr>
            <w:tcW w:w="300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8D73D3" w:rsidRPr="008D73D3" w:rsidRDefault="00AA1EF5" w:rsidP="00AA1EF5">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Fortalecimiento del registro de la producción editorial en la región</w:t>
            </w:r>
          </w:p>
        </w:tc>
        <w:tc>
          <w:tcPr>
            <w:tcW w:w="350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Asesorar técnicamente los procesos de instalación y funcionamiento de la nueva versión del software ISBN en las agencias nacionales</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Instalación y capacitación en el uso del software RISBN 5.3, en diecisiete (17) agencias ISBN de la región</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Software RISBN 5.3 en funcionamiento en 17 países</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17 países</w:t>
            </w:r>
          </w:p>
        </w:tc>
      </w:tr>
      <w:tr w:rsidR="008D73D3" w:rsidRPr="008D73D3" w:rsidTr="00AA1EF5">
        <w:trPr>
          <w:trHeight w:val="900"/>
        </w:trPr>
        <w:tc>
          <w:tcPr>
            <w:tcW w:w="3000" w:type="dxa"/>
            <w:vMerge/>
            <w:tcBorders>
              <w:top w:val="single" w:sz="4" w:space="0" w:color="000000"/>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Reunión bienal de Agencias Nacionales del ISBN</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Realización de la reunión en Guatemala, en el último trimestre de 2016</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participantes y memoria del evento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1500"/>
        </w:trPr>
        <w:tc>
          <w:tcPr>
            <w:tcW w:w="3000" w:type="dxa"/>
            <w:tcBorders>
              <w:top w:val="nil"/>
              <w:left w:val="single" w:sz="8"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Catálogos nacionales de la oferta editorial</w:t>
            </w: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Conformación de catálogos nacionales de la oferta editorial en la región</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Sensibilizar a los ministerios (educación y cultura), agremiaciones del sector y agencias ISBN de la región para conformar los catálogos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países donde se llevaron a cabo acciones de sensibilización con los actores del libro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330"/>
        </w:trPr>
        <w:tc>
          <w:tcPr>
            <w:tcW w:w="15660" w:type="dxa"/>
            <w:gridSpan w:val="5"/>
            <w:tcBorders>
              <w:top w:val="single" w:sz="4" w:space="0" w:color="auto"/>
              <w:left w:val="single" w:sz="8" w:space="0" w:color="auto"/>
              <w:bottom w:val="single" w:sz="4" w:space="0" w:color="auto"/>
              <w:right w:val="single" w:sz="8" w:space="0" w:color="000000"/>
            </w:tcBorders>
            <w:shd w:val="clear" w:color="000000" w:fill="95B3D7"/>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Observatorios sectoriales</w:t>
            </w:r>
          </w:p>
        </w:tc>
      </w:tr>
      <w:tr w:rsidR="008D73D3" w:rsidRPr="008D73D3" w:rsidTr="00AA1EF5">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Objetivo de referencia</w:t>
            </w:r>
          </w:p>
        </w:tc>
      </w:tr>
      <w:tr w:rsidR="00AA1EF5" w:rsidRPr="008D73D3" w:rsidTr="00AA1EF5">
        <w:trPr>
          <w:trHeight w:val="630"/>
        </w:trPr>
        <w:tc>
          <w:tcPr>
            <w:tcW w:w="300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Observatorio del libro, la lectura y las bibliotecas</w:t>
            </w:r>
          </w:p>
        </w:tc>
        <w:tc>
          <w:tcPr>
            <w:tcW w:w="350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base de objetivos y alcance</w:t>
            </w:r>
          </w:p>
        </w:tc>
        <w:tc>
          <w:tcPr>
            <w:tcW w:w="322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del documento</w:t>
            </w:r>
          </w:p>
        </w:tc>
        <w:tc>
          <w:tcPr>
            <w:tcW w:w="404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AA1EF5" w:rsidRPr="008D73D3" w:rsidTr="00AA1EF5">
        <w:trPr>
          <w:trHeight w:val="900"/>
        </w:trPr>
        <w:tc>
          <w:tcPr>
            <w:tcW w:w="3000" w:type="dxa"/>
            <w:vMerge/>
            <w:tcBorders>
              <w:left w:val="single" w:sz="8" w:space="0" w:color="auto"/>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contenidos y levantamiento de la información</w:t>
            </w:r>
          </w:p>
        </w:tc>
        <w:tc>
          <w:tcPr>
            <w:tcW w:w="322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Recolección de información y adecuación a la estructura del observatorio</w:t>
            </w:r>
          </w:p>
        </w:tc>
        <w:tc>
          <w:tcPr>
            <w:tcW w:w="404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Descripción de la información incorporada</w:t>
            </w:r>
          </w:p>
        </w:tc>
        <w:tc>
          <w:tcPr>
            <w:tcW w:w="1900" w:type="dxa"/>
            <w:tcBorders>
              <w:top w:val="nil"/>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AA1EF5" w:rsidRPr="008D73D3" w:rsidTr="00AA1EF5">
        <w:trPr>
          <w:trHeight w:val="600"/>
        </w:trPr>
        <w:tc>
          <w:tcPr>
            <w:tcW w:w="3000" w:type="dxa"/>
            <w:vMerge/>
            <w:tcBorders>
              <w:left w:val="single" w:sz="8" w:space="0" w:color="auto"/>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Puesta en marcha del observatorio</w:t>
            </w:r>
          </w:p>
        </w:tc>
        <w:tc>
          <w:tcPr>
            <w:tcW w:w="322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de la plataforma y carga de contenidos</w:t>
            </w:r>
          </w:p>
        </w:tc>
        <w:tc>
          <w:tcPr>
            <w:tcW w:w="404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Observatorio en funcionamiento; estadísticas de uso</w:t>
            </w:r>
          </w:p>
        </w:tc>
        <w:tc>
          <w:tcPr>
            <w:tcW w:w="1900" w:type="dxa"/>
            <w:tcBorders>
              <w:top w:val="nil"/>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AA1EF5" w:rsidRPr="008D73D3" w:rsidTr="00AA1EF5">
        <w:trPr>
          <w:trHeight w:val="313"/>
        </w:trPr>
        <w:tc>
          <w:tcPr>
            <w:tcW w:w="3000" w:type="dxa"/>
            <w:vMerge/>
            <w:tcBorders>
              <w:left w:val="single" w:sz="8" w:space="0" w:color="auto"/>
              <w:bottom w:val="single" w:sz="4" w:space="0" w:color="auto"/>
              <w:right w:val="single" w:sz="4" w:space="0" w:color="auto"/>
            </w:tcBorders>
            <w:shd w:val="clear" w:color="auto" w:fill="auto"/>
            <w:vAlign w:val="center"/>
            <w:hideMark/>
          </w:tcPr>
          <w:p w:rsidR="00AA1EF5" w:rsidRPr="008D73D3" w:rsidRDefault="00AA1EF5"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Generación de contenidos propios</w:t>
            </w:r>
          </w:p>
        </w:tc>
        <w:tc>
          <w:tcPr>
            <w:tcW w:w="322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temas y contratación de expertos</w:t>
            </w:r>
          </w:p>
        </w:tc>
        <w:tc>
          <w:tcPr>
            <w:tcW w:w="4040" w:type="dxa"/>
            <w:tcBorders>
              <w:top w:val="nil"/>
              <w:left w:val="nil"/>
              <w:bottom w:val="single" w:sz="4" w:space="0" w:color="auto"/>
              <w:right w:val="single" w:sz="4"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contenidos contratados</w:t>
            </w:r>
          </w:p>
        </w:tc>
        <w:tc>
          <w:tcPr>
            <w:tcW w:w="1900" w:type="dxa"/>
            <w:tcBorders>
              <w:top w:val="nil"/>
              <w:left w:val="nil"/>
              <w:bottom w:val="single" w:sz="4" w:space="0" w:color="auto"/>
              <w:right w:val="single" w:sz="8" w:space="0" w:color="auto"/>
            </w:tcBorders>
            <w:shd w:val="clear" w:color="000000" w:fill="FFFFFF"/>
            <w:vAlign w:val="center"/>
            <w:hideMark/>
          </w:tcPr>
          <w:p w:rsidR="00AA1EF5" w:rsidRPr="008D73D3" w:rsidRDefault="00AA1EF5"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10</w:t>
            </w:r>
          </w:p>
        </w:tc>
      </w:tr>
      <w:tr w:rsidR="008D73D3" w:rsidRPr="008D73D3" w:rsidTr="00AA1EF5">
        <w:trPr>
          <w:trHeight w:val="600"/>
        </w:trPr>
        <w:tc>
          <w:tcPr>
            <w:tcW w:w="3000" w:type="dxa"/>
            <w:tcBorders>
              <w:top w:val="single" w:sz="4" w:space="0" w:color="auto"/>
              <w:left w:val="single" w:sz="8" w:space="0" w:color="auto"/>
              <w:bottom w:val="single" w:sz="4" w:space="0" w:color="000000"/>
              <w:right w:val="single" w:sz="4" w:space="0" w:color="auto"/>
            </w:tcBorders>
            <w:shd w:val="clear" w:color="auto" w:fill="auto"/>
            <w:vAlign w:val="center"/>
            <w:hideMark/>
          </w:tcPr>
          <w:p w:rsidR="008D73D3" w:rsidRPr="008D73D3" w:rsidRDefault="00AA1EF5" w:rsidP="00AA1EF5">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Observatorio del libro, la lectura y las bibliotecas</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Sostenibilidad del observatorio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Seguimiento y actualización periódica de los contenidos </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actualizaciones y estadísticas históricas de uso</w:t>
            </w:r>
          </w:p>
        </w:tc>
        <w:tc>
          <w:tcPr>
            <w:tcW w:w="1900" w:type="dxa"/>
            <w:tcBorders>
              <w:top w:val="single" w:sz="4" w:space="0" w:color="auto"/>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Observatorio de la creación y el derecho de autor</w:t>
            </w:r>
          </w:p>
        </w:tc>
        <w:tc>
          <w:tcPr>
            <w:tcW w:w="350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base de objetivos y alcance</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del documento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contenidos y levantamiento de la información</w:t>
            </w:r>
          </w:p>
        </w:tc>
        <w:tc>
          <w:tcPr>
            <w:tcW w:w="322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Recolección de información y adecuación a la estructura del Observatorio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Descripción de la información incorporada</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Puesta en marcha del observatorio</w:t>
            </w:r>
          </w:p>
        </w:tc>
        <w:tc>
          <w:tcPr>
            <w:tcW w:w="322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de la plataforma y carga de contenidos</w:t>
            </w:r>
          </w:p>
        </w:tc>
        <w:tc>
          <w:tcPr>
            <w:tcW w:w="404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Observatorio en funcionamiento; estadísticas de uso</w:t>
            </w:r>
          </w:p>
        </w:tc>
        <w:tc>
          <w:tcPr>
            <w:tcW w:w="1900" w:type="dxa"/>
            <w:tcBorders>
              <w:top w:val="nil"/>
              <w:left w:val="nil"/>
              <w:bottom w:val="single" w:sz="4" w:space="0" w:color="auto"/>
              <w:right w:val="single" w:sz="8"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Generación de contenidos propios</w:t>
            </w:r>
          </w:p>
        </w:tc>
        <w:tc>
          <w:tcPr>
            <w:tcW w:w="3220" w:type="dxa"/>
            <w:tcBorders>
              <w:top w:val="nil"/>
              <w:left w:val="nil"/>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temas y contratación de expertos</w:t>
            </w:r>
          </w:p>
        </w:tc>
        <w:tc>
          <w:tcPr>
            <w:tcW w:w="4040" w:type="dxa"/>
            <w:tcBorders>
              <w:top w:val="nil"/>
              <w:left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contenidos contratados</w:t>
            </w:r>
          </w:p>
        </w:tc>
        <w:tc>
          <w:tcPr>
            <w:tcW w:w="1900" w:type="dxa"/>
            <w:tcBorders>
              <w:top w:val="nil"/>
              <w:left w:val="nil"/>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10</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Sostenibilidad del observatorio</w:t>
            </w:r>
          </w:p>
        </w:tc>
        <w:tc>
          <w:tcPr>
            <w:tcW w:w="3220" w:type="dxa"/>
            <w:tcBorders>
              <w:top w:val="nil"/>
              <w:left w:val="nil"/>
              <w:bottom w:val="single" w:sz="4" w:space="0" w:color="auto"/>
              <w:right w:val="single" w:sz="4" w:space="0" w:color="auto"/>
            </w:tcBorders>
            <w:shd w:val="clear" w:color="auto" w:fill="auto"/>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Seguimiento y actualización periódica de los contenidos </w:t>
            </w:r>
          </w:p>
        </w:tc>
        <w:tc>
          <w:tcPr>
            <w:tcW w:w="404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actualizaciones y estadísticas históricas de uso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val="restart"/>
            <w:tcBorders>
              <w:top w:val="nil"/>
              <w:left w:val="single" w:sz="8" w:space="0" w:color="auto"/>
              <w:bottom w:val="nil"/>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Observatorio de cultura y educación en la primera infancia</w:t>
            </w:r>
          </w:p>
        </w:tc>
        <w:tc>
          <w:tcPr>
            <w:tcW w:w="350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base de objetivos y alcance</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del documento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9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contenidos y levantamiento de la información</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Recolección de información y adecuación a la estructura del observatorio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Descripción de la información incorporada</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Puesta en marcha del observatorio</w:t>
            </w:r>
          </w:p>
        </w:tc>
        <w:tc>
          <w:tcPr>
            <w:tcW w:w="322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de la plataforma y carga de contenidos</w:t>
            </w:r>
          </w:p>
        </w:tc>
        <w:tc>
          <w:tcPr>
            <w:tcW w:w="4040" w:type="dxa"/>
            <w:tcBorders>
              <w:top w:val="nil"/>
              <w:left w:val="nil"/>
              <w:bottom w:val="single" w:sz="4" w:space="0" w:color="auto"/>
              <w:right w:val="single" w:sz="4"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Observatorio en funcionamiento; estadísticas de uso</w:t>
            </w:r>
          </w:p>
        </w:tc>
        <w:tc>
          <w:tcPr>
            <w:tcW w:w="1900" w:type="dxa"/>
            <w:tcBorders>
              <w:top w:val="nil"/>
              <w:left w:val="nil"/>
              <w:bottom w:val="single" w:sz="4" w:space="0" w:color="auto"/>
              <w:right w:val="single" w:sz="8" w:space="0" w:color="auto"/>
            </w:tcBorders>
            <w:shd w:val="clear" w:color="000000" w:fill="FFFFFF"/>
            <w:vAlign w:val="bottom"/>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Generación de contenidos propios</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temas y contratación de expertos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contenidos contratados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10</w:t>
            </w:r>
          </w:p>
        </w:tc>
      </w:tr>
      <w:tr w:rsidR="008D73D3" w:rsidRPr="008D73D3" w:rsidTr="00FE5EF3">
        <w:trPr>
          <w:trHeight w:val="6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auto" w:fill="auto"/>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Sostenibilidad del observatorio</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Seguimiento y actualización periódica de los contenidos </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actualizaciones y estadísticas históricas de uso</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AA1EF5">
        <w:trPr>
          <w:trHeight w:val="615"/>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 Encuentro Internacional de Expertos en Primera Infancia</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Realización del evento</w:t>
            </w:r>
          </w:p>
        </w:tc>
        <w:tc>
          <w:tcPr>
            <w:tcW w:w="4040" w:type="dxa"/>
            <w:tcBorders>
              <w:top w:val="nil"/>
              <w:left w:val="nil"/>
              <w:bottom w:val="single" w:sz="4" w:space="0" w:color="auto"/>
              <w:right w:val="single" w:sz="4" w:space="0" w:color="auto"/>
            </w:tcBorders>
            <w:shd w:val="clear" w:color="auto" w:fill="auto"/>
            <w:vAlign w:val="center"/>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w:t>
            </w:r>
          </w:p>
        </w:tc>
        <w:tc>
          <w:tcPr>
            <w:tcW w:w="1900" w:type="dxa"/>
            <w:tcBorders>
              <w:top w:val="nil"/>
              <w:left w:val="nil"/>
              <w:bottom w:val="single" w:sz="4" w:space="0" w:color="auto"/>
              <w:right w:val="single" w:sz="8" w:space="0" w:color="auto"/>
            </w:tcBorders>
            <w:shd w:val="clear" w:color="000000" w:fill="FFFFFF"/>
            <w:vAlign w:val="bottom"/>
            <w:hideMark/>
          </w:tcPr>
          <w:p w:rsidR="008D73D3" w:rsidRPr="00FE5EF3" w:rsidRDefault="008D73D3" w:rsidP="008D73D3">
            <w:pPr>
              <w:spacing w:after="0" w:line="240" w:lineRule="auto"/>
              <w:jc w:val="left"/>
              <w:rPr>
                <w:rFonts w:ascii="Myriad Pro" w:eastAsia="Times New Roman" w:hAnsi="Myriad Pro"/>
                <w:color w:val="000000"/>
                <w:sz w:val="23"/>
                <w:szCs w:val="23"/>
                <w:lang w:val="es-ES" w:eastAsia="es-ES"/>
              </w:rPr>
            </w:pPr>
            <w:r w:rsidRPr="00FE5EF3">
              <w:rPr>
                <w:rFonts w:ascii="Myriad Pro" w:eastAsia="Times New Roman" w:hAnsi="Myriad Pro"/>
                <w:color w:val="000000"/>
                <w:sz w:val="23"/>
                <w:szCs w:val="23"/>
                <w:lang w:val="es-ES" w:eastAsia="es-ES"/>
              </w:rPr>
              <w:t>21 países miembros</w:t>
            </w:r>
          </w:p>
        </w:tc>
      </w:tr>
      <w:tr w:rsidR="008D73D3" w:rsidRPr="008D73D3" w:rsidTr="00AA1EF5">
        <w:trPr>
          <w:trHeight w:val="345"/>
        </w:trPr>
        <w:tc>
          <w:tcPr>
            <w:tcW w:w="15660" w:type="dxa"/>
            <w:gridSpan w:val="5"/>
            <w:tcBorders>
              <w:top w:val="single" w:sz="4" w:space="0" w:color="auto"/>
              <w:left w:val="single" w:sz="8" w:space="0" w:color="auto"/>
              <w:bottom w:val="single" w:sz="8" w:space="0" w:color="auto"/>
              <w:right w:val="single" w:sz="8" w:space="0" w:color="000000"/>
            </w:tcBorders>
            <w:shd w:val="clear" w:color="000000" w:fill="BFBFBF"/>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lastRenderedPageBreak/>
              <w:t>2. Investigación</w:t>
            </w:r>
          </w:p>
        </w:tc>
      </w:tr>
      <w:tr w:rsidR="008D73D3" w:rsidRPr="008D73D3" w:rsidTr="00FE5EF3">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Objetivo de referencia</w:t>
            </w:r>
          </w:p>
        </w:tc>
      </w:tr>
      <w:tr w:rsidR="008D73D3" w:rsidRPr="008D73D3" w:rsidTr="00FE5EF3">
        <w:trPr>
          <w:trHeight w:val="600"/>
        </w:trPr>
        <w:tc>
          <w:tcPr>
            <w:tcW w:w="3000" w:type="dxa"/>
            <w:vMerge w:val="restart"/>
            <w:tcBorders>
              <w:top w:val="nil"/>
              <w:left w:val="single" w:sz="8"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Índice de Desarrollo Lector</w:t>
            </w: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y publicación del Índice de Desarrollo Lector (IDL)</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Elaboración del diseño metodológico </w:t>
            </w:r>
          </w:p>
        </w:tc>
        <w:tc>
          <w:tcPr>
            <w:tcW w:w="4040" w:type="dxa"/>
            <w:tcBorders>
              <w:top w:val="nil"/>
              <w:left w:val="nil"/>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elaborado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Encuentro de expertos para validación de la metodología</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expertos y memoria del encuentro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Recopilación de información base</w:t>
            </w:r>
          </w:p>
        </w:tc>
        <w:tc>
          <w:tcPr>
            <w:tcW w:w="4040" w:type="dxa"/>
            <w:tcBorders>
              <w:top w:val="nil"/>
              <w:left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 actualizable</w:t>
            </w:r>
          </w:p>
        </w:tc>
        <w:tc>
          <w:tcPr>
            <w:tcW w:w="1900" w:type="dxa"/>
            <w:tcBorders>
              <w:top w:val="nil"/>
              <w:left w:val="nil"/>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Procesamiento estadístico y análisis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final elaborado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3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Publicación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IDL publicado y difundido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300"/>
        </w:trPr>
        <w:tc>
          <w:tcPr>
            <w:tcW w:w="30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Diagnóstico de la industria editorial regional</w:t>
            </w:r>
          </w:p>
        </w:tc>
        <w:tc>
          <w:tcPr>
            <w:tcW w:w="35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metodológico y elaboración de estudios nacionales de diagnóstico sobre el sector editorial</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metodológico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metodológico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9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Levantamiento y procesamiento de la información</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 actualizable</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Agenda de contactos con los organismos de enlace </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contactos realizados</w:t>
            </w:r>
          </w:p>
        </w:tc>
        <w:tc>
          <w:tcPr>
            <w:tcW w:w="1900" w:type="dxa"/>
            <w:tcBorders>
              <w:top w:val="nil"/>
              <w:left w:val="nil"/>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Realización de convenios para la elaboración del estudio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convenios realizados y de estudios publicados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4</w:t>
            </w:r>
          </w:p>
        </w:tc>
      </w:tr>
      <w:tr w:rsidR="008D73D3" w:rsidRPr="008D73D3" w:rsidTr="00FE5EF3">
        <w:trPr>
          <w:trHeight w:val="600"/>
        </w:trPr>
        <w:tc>
          <w:tcPr>
            <w:tcW w:w="3000" w:type="dxa"/>
            <w:vMerge w:val="restart"/>
            <w:tcBorders>
              <w:top w:val="nil"/>
              <w:left w:val="single" w:sz="8"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Compras públicas de materiales editoriales</w:t>
            </w:r>
          </w:p>
        </w:tc>
        <w:tc>
          <w:tcPr>
            <w:tcW w:w="35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y publicación del documento</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Elaboración de términos de referencia</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de términos de referencia</w:t>
            </w:r>
          </w:p>
        </w:tc>
        <w:tc>
          <w:tcPr>
            <w:tcW w:w="1900" w:type="dxa"/>
            <w:vMerge w:val="restart"/>
            <w:tcBorders>
              <w:top w:val="nil"/>
              <w:left w:val="single" w:sz="4" w:space="0" w:color="auto"/>
              <w:bottom w:val="single" w:sz="4" w:space="0" w:color="auto"/>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8D73D3" w:rsidRPr="008D73D3" w:rsidTr="00FE5EF3">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de fuentes y levantamiento de información</w:t>
            </w:r>
          </w:p>
        </w:tc>
        <w:tc>
          <w:tcPr>
            <w:tcW w:w="4040" w:type="dxa"/>
            <w:tcBorders>
              <w:top w:val="nil"/>
              <w:left w:val="nil"/>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Base de datos</w:t>
            </w:r>
          </w:p>
        </w:tc>
        <w:tc>
          <w:tcPr>
            <w:tcW w:w="1900" w:type="dxa"/>
            <w:vMerge/>
            <w:tcBorders>
              <w:top w:val="nil"/>
              <w:left w:val="single" w:sz="4" w:space="0" w:color="auto"/>
              <w:bottom w:val="single" w:sz="4" w:space="0" w:color="auto"/>
              <w:right w:val="single" w:sz="8"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r>
      <w:tr w:rsidR="008D73D3" w:rsidRPr="008D73D3" w:rsidTr="00AA1EF5">
        <w:trPr>
          <w:trHeight w:val="600"/>
        </w:trPr>
        <w:tc>
          <w:tcPr>
            <w:tcW w:w="3000" w:type="dxa"/>
            <w:vMerge/>
            <w:tcBorders>
              <w:top w:val="nil"/>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Procesamiento estadístico y análisis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final con recomendaciones</w:t>
            </w:r>
          </w:p>
        </w:tc>
        <w:tc>
          <w:tcPr>
            <w:tcW w:w="1900" w:type="dxa"/>
            <w:vMerge/>
            <w:tcBorders>
              <w:top w:val="nil"/>
              <w:left w:val="single" w:sz="4" w:space="0" w:color="auto"/>
              <w:bottom w:val="single" w:sz="4" w:space="0" w:color="auto"/>
              <w:right w:val="single" w:sz="8"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r>
      <w:tr w:rsidR="008D73D3" w:rsidRPr="008D73D3" w:rsidTr="00AA1EF5">
        <w:trPr>
          <w:trHeight w:val="600"/>
        </w:trPr>
        <w:tc>
          <w:tcPr>
            <w:tcW w:w="3000" w:type="dxa"/>
            <w:vMerge w:val="restart"/>
            <w:tcBorders>
              <w:top w:val="single" w:sz="4" w:space="0" w:color="auto"/>
              <w:left w:val="single" w:sz="8" w:space="0" w:color="auto"/>
              <w:bottom w:val="nil"/>
              <w:right w:val="single" w:sz="4" w:space="0" w:color="auto"/>
            </w:tcBorders>
            <w:shd w:val="clear" w:color="000000" w:fill="FFFFFF"/>
            <w:vAlign w:val="center"/>
            <w:hideMark/>
          </w:tcPr>
          <w:p w:rsidR="008D73D3" w:rsidRPr="0041191B" w:rsidRDefault="00F264E1" w:rsidP="008D73D3">
            <w:pPr>
              <w:spacing w:after="0" w:line="240" w:lineRule="auto"/>
              <w:jc w:val="center"/>
              <w:rPr>
                <w:rFonts w:ascii="Myriad Pro" w:eastAsia="Times New Roman" w:hAnsi="Myriad Pro"/>
                <w:b/>
                <w:bCs/>
                <w:color w:val="000000"/>
                <w:sz w:val="23"/>
                <w:szCs w:val="23"/>
                <w:lang w:val="es-ES" w:eastAsia="es-ES"/>
              </w:rPr>
            </w:pPr>
            <w:r w:rsidRPr="0041191B">
              <w:rPr>
                <w:rFonts w:ascii="Myriad Pro" w:eastAsia="Times New Roman" w:hAnsi="Myriad Pro"/>
                <w:b/>
                <w:bCs/>
                <w:color w:val="000000"/>
                <w:sz w:val="23"/>
                <w:szCs w:val="23"/>
                <w:lang w:val="es-ES" w:eastAsia="es-ES"/>
              </w:rPr>
              <w:lastRenderedPageBreak/>
              <w:t>Estado del arte en adquisición y uso de dispositivos electrónicos en el sistema educativo</w:t>
            </w:r>
          </w:p>
        </w:tc>
        <w:tc>
          <w:tcPr>
            <w:tcW w:w="3500" w:type="dxa"/>
            <w:vMerge w:val="restart"/>
            <w:tcBorders>
              <w:top w:val="single" w:sz="4" w:space="0" w:color="auto"/>
              <w:left w:val="single" w:sz="4" w:space="0" w:color="auto"/>
              <w:bottom w:val="nil"/>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Elaboración y publicación del documento</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41191B" w:rsidRDefault="008D73D3" w:rsidP="00F264E1">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 xml:space="preserve">Términos de referencia </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Documento de términos de referencia</w:t>
            </w:r>
          </w:p>
        </w:tc>
        <w:tc>
          <w:tcPr>
            <w:tcW w:w="1900" w:type="dxa"/>
            <w:tcBorders>
              <w:top w:val="single" w:sz="4" w:space="0" w:color="auto"/>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nil"/>
              <w:right w:val="single" w:sz="4" w:space="0" w:color="auto"/>
            </w:tcBorders>
            <w:vAlign w:val="center"/>
            <w:hideMark/>
          </w:tcPr>
          <w:p w:rsidR="008D73D3" w:rsidRPr="0041191B"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nil"/>
              <w:right w:val="single" w:sz="4" w:space="0" w:color="auto"/>
            </w:tcBorders>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nil"/>
              <w:right w:val="single" w:sz="4" w:space="0" w:color="auto"/>
            </w:tcBorders>
            <w:shd w:val="clear" w:color="000000" w:fill="FFFFFF"/>
            <w:vAlign w:val="center"/>
            <w:hideMark/>
          </w:tcPr>
          <w:p w:rsidR="008D73D3" w:rsidRPr="0041191B" w:rsidRDefault="00F264E1"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E</w:t>
            </w:r>
            <w:r w:rsidR="008D73D3" w:rsidRPr="0041191B">
              <w:rPr>
                <w:rFonts w:ascii="Myriad Pro" w:eastAsia="Times New Roman" w:hAnsi="Myriad Pro"/>
                <w:color w:val="000000"/>
                <w:sz w:val="23"/>
                <w:szCs w:val="23"/>
                <w:lang w:val="es-ES" w:eastAsia="es-ES"/>
              </w:rPr>
              <w:t>laboración del documento</w:t>
            </w:r>
          </w:p>
        </w:tc>
        <w:tc>
          <w:tcPr>
            <w:tcW w:w="4040" w:type="dxa"/>
            <w:tcBorders>
              <w:top w:val="nil"/>
              <w:left w:val="nil"/>
              <w:bottom w:val="nil"/>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Documento elaborado</w:t>
            </w:r>
          </w:p>
        </w:tc>
        <w:tc>
          <w:tcPr>
            <w:tcW w:w="1900" w:type="dxa"/>
            <w:tcBorders>
              <w:top w:val="nil"/>
              <w:left w:val="nil"/>
              <w:bottom w:val="nil"/>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nil"/>
              <w:left w:val="single" w:sz="8" w:space="0" w:color="auto"/>
              <w:bottom w:val="nil"/>
              <w:right w:val="single" w:sz="4" w:space="0" w:color="auto"/>
            </w:tcBorders>
            <w:vAlign w:val="center"/>
            <w:hideMark/>
          </w:tcPr>
          <w:p w:rsidR="008D73D3" w:rsidRPr="0041191B"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nil"/>
              <w:right w:val="single" w:sz="4" w:space="0" w:color="auto"/>
            </w:tcBorders>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single" w:sz="4" w:space="0" w:color="auto"/>
              <w:left w:val="nil"/>
              <w:bottom w:val="nil"/>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Publicación y divulgación del documento</w:t>
            </w:r>
          </w:p>
        </w:tc>
        <w:tc>
          <w:tcPr>
            <w:tcW w:w="4040" w:type="dxa"/>
            <w:tcBorders>
              <w:top w:val="single" w:sz="4" w:space="0" w:color="auto"/>
              <w:left w:val="nil"/>
              <w:bottom w:val="nil"/>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Documento publicado y divulgado</w:t>
            </w:r>
          </w:p>
        </w:tc>
        <w:tc>
          <w:tcPr>
            <w:tcW w:w="1900" w:type="dxa"/>
            <w:tcBorders>
              <w:top w:val="single" w:sz="4" w:space="0" w:color="auto"/>
              <w:left w:val="nil"/>
              <w:bottom w:val="nil"/>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8D73D3" w:rsidRPr="0041191B" w:rsidRDefault="008D73D3" w:rsidP="008D73D3">
            <w:pPr>
              <w:spacing w:after="0" w:line="240" w:lineRule="auto"/>
              <w:jc w:val="center"/>
              <w:rPr>
                <w:rFonts w:ascii="Myriad Pro" w:eastAsia="Times New Roman" w:hAnsi="Myriad Pro"/>
                <w:b/>
                <w:bCs/>
                <w:color w:val="000000"/>
                <w:sz w:val="23"/>
                <w:szCs w:val="23"/>
                <w:lang w:val="es-ES" w:eastAsia="es-ES"/>
              </w:rPr>
            </w:pPr>
            <w:r w:rsidRPr="0041191B">
              <w:rPr>
                <w:rFonts w:ascii="Myriad Pro" w:eastAsia="Times New Roman" w:hAnsi="Myriad Pro"/>
                <w:b/>
                <w:bCs/>
                <w:color w:val="000000"/>
                <w:sz w:val="23"/>
                <w:szCs w:val="23"/>
                <w:lang w:val="es-ES" w:eastAsia="es-ES"/>
              </w:rPr>
              <w:t xml:space="preserve">Diseño de una metodología para estudios etnográficos de comportamiento lector </w:t>
            </w:r>
          </w:p>
        </w:tc>
        <w:tc>
          <w:tcPr>
            <w:tcW w:w="35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Elaboración y publicación del documento</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Términos de referencia y selección de grupo de expertos</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41191B" w:rsidRDefault="008D73D3" w:rsidP="008D73D3">
            <w:pPr>
              <w:spacing w:after="0" w:line="240" w:lineRule="auto"/>
              <w:jc w:val="left"/>
              <w:rPr>
                <w:rFonts w:ascii="Myriad Pro" w:eastAsia="Times New Roman" w:hAnsi="Myriad Pro"/>
                <w:color w:val="000000"/>
                <w:sz w:val="23"/>
                <w:szCs w:val="23"/>
                <w:lang w:val="es-ES" w:eastAsia="es-ES"/>
              </w:rPr>
            </w:pPr>
            <w:r w:rsidRPr="0041191B">
              <w:rPr>
                <w:rFonts w:ascii="Myriad Pro" w:eastAsia="Times New Roman" w:hAnsi="Myriad Pro"/>
                <w:color w:val="000000"/>
                <w:sz w:val="23"/>
                <w:szCs w:val="23"/>
                <w:lang w:val="es-ES" w:eastAsia="es-ES"/>
              </w:rPr>
              <w:t>Documento de términos de referencia</w:t>
            </w:r>
          </w:p>
        </w:tc>
        <w:tc>
          <w:tcPr>
            <w:tcW w:w="1900" w:type="dxa"/>
            <w:tcBorders>
              <w:top w:val="single" w:sz="4" w:space="0" w:color="auto"/>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single" w:sz="4" w:space="0" w:color="auto"/>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Contratación y elaboración del documento base</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elaborado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600"/>
        </w:trPr>
        <w:tc>
          <w:tcPr>
            <w:tcW w:w="3000" w:type="dxa"/>
            <w:vMerge/>
            <w:tcBorders>
              <w:top w:val="single" w:sz="4" w:space="0" w:color="auto"/>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single" w:sz="4" w:space="0" w:color="auto"/>
              <w:left w:val="nil"/>
              <w:bottom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Discusión del documento base</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reuniones de consulta y documentos resultantes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w:t>
            </w:r>
          </w:p>
        </w:tc>
      </w:tr>
      <w:tr w:rsidR="008D73D3" w:rsidRPr="008D73D3" w:rsidTr="00FE5EF3">
        <w:trPr>
          <w:trHeight w:val="600"/>
        </w:trPr>
        <w:tc>
          <w:tcPr>
            <w:tcW w:w="3000" w:type="dxa"/>
            <w:vMerge/>
            <w:tcBorders>
              <w:top w:val="single" w:sz="4" w:space="0" w:color="auto"/>
              <w:left w:val="single" w:sz="8"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single" w:sz="4" w:space="0" w:color="auto"/>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single" w:sz="4" w:space="0" w:color="auto"/>
              <w:left w:val="nil"/>
              <w:bottom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Publicación y divulgación del documento</w:t>
            </w:r>
          </w:p>
        </w:tc>
        <w:tc>
          <w:tcPr>
            <w:tcW w:w="4040" w:type="dxa"/>
            <w:tcBorders>
              <w:top w:val="nil"/>
              <w:left w:val="nil"/>
              <w:bottom w:val="nil"/>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publicado y divulgado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345"/>
        </w:trPr>
        <w:tc>
          <w:tcPr>
            <w:tcW w:w="15660" w:type="dxa"/>
            <w:gridSpan w:val="5"/>
            <w:tcBorders>
              <w:top w:val="single" w:sz="4" w:space="0" w:color="auto"/>
              <w:left w:val="single" w:sz="8" w:space="0" w:color="auto"/>
              <w:bottom w:val="single" w:sz="8" w:space="0" w:color="auto"/>
              <w:right w:val="single" w:sz="8" w:space="0" w:color="000000"/>
            </w:tcBorders>
            <w:shd w:val="clear" w:color="000000" w:fill="BFBFBF"/>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3. Formación y capacitación</w:t>
            </w:r>
          </w:p>
        </w:tc>
      </w:tr>
      <w:tr w:rsidR="008D73D3" w:rsidRPr="008D73D3" w:rsidTr="00AA1EF5">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Objetivo de referencia</w:t>
            </w:r>
          </w:p>
        </w:tc>
      </w:tr>
      <w:tr w:rsidR="00E039A3" w:rsidRPr="008D73D3" w:rsidTr="00607EEB">
        <w:trPr>
          <w:trHeight w:val="600"/>
        </w:trPr>
        <w:tc>
          <w:tcPr>
            <w:tcW w:w="3000" w:type="dxa"/>
            <w:vMerge w:val="restart"/>
            <w:tcBorders>
              <w:top w:val="single" w:sz="4" w:space="0" w:color="auto"/>
              <w:left w:val="single" w:sz="8" w:space="0" w:color="auto"/>
              <w:right w:val="single" w:sz="4" w:space="0" w:color="auto"/>
            </w:tcBorders>
            <w:shd w:val="clear" w:color="000000" w:fill="FFFFFF"/>
            <w:vAlign w:val="center"/>
            <w:hideMark/>
          </w:tcPr>
          <w:p w:rsidR="00E039A3" w:rsidRPr="008D73D3" w:rsidRDefault="00E039A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Programas de formación virtual y presencial</w:t>
            </w:r>
          </w:p>
        </w:tc>
        <w:tc>
          <w:tcPr>
            <w:tcW w:w="3500" w:type="dxa"/>
            <w:tcBorders>
              <w:top w:val="single" w:sz="4" w:space="0" w:color="auto"/>
              <w:left w:val="nil"/>
              <w:bottom w:val="single" w:sz="4" w:space="0" w:color="auto"/>
              <w:right w:val="single" w:sz="4" w:space="0" w:color="auto"/>
            </w:tcBorders>
            <w:shd w:val="clear" w:color="000000" w:fill="FFFFFF"/>
            <w:noWrap/>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Portafolio de cursos</w:t>
            </w:r>
          </w:p>
        </w:tc>
        <w:tc>
          <w:tcPr>
            <w:tcW w:w="322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Actualización del portafolio de cursos de formación</w:t>
            </w:r>
          </w:p>
        </w:tc>
        <w:tc>
          <w:tcPr>
            <w:tcW w:w="404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Descripción y número de cursos contenidos en el portafolio</w:t>
            </w:r>
          </w:p>
        </w:tc>
        <w:tc>
          <w:tcPr>
            <w:tcW w:w="1900" w:type="dxa"/>
            <w:tcBorders>
              <w:top w:val="nil"/>
              <w:left w:val="nil"/>
              <w:bottom w:val="single" w:sz="4" w:space="0" w:color="auto"/>
              <w:right w:val="single" w:sz="8" w:space="0" w:color="auto"/>
            </w:tcBorders>
            <w:shd w:val="clear" w:color="000000" w:fill="FFFFFF"/>
            <w:noWrap/>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10</w:t>
            </w:r>
          </w:p>
        </w:tc>
      </w:tr>
      <w:tr w:rsidR="00E039A3" w:rsidRPr="008D73D3" w:rsidTr="00607EEB">
        <w:trPr>
          <w:trHeight w:val="900"/>
        </w:trPr>
        <w:tc>
          <w:tcPr>
            <w:tcW w:w="3000" w:type="dxa"/>
            <w:vMerge/>
            <w:tcBorders>
              <w:left w:val="single" w:sz="8" w:space="0" w:color="auto"/>
              <w:right w:val="single" w:sz="4" w:space="0" w:color="auto"/>
            </w:tcBorders>
            <w:vAlign w:val="center"/>
            <w:hideMark/>
          </w:tcPr>
          <w:p w:rsidR="00E039A3" w:rsidRPr="008D73D3" w:rsidRDefault="00E039A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Portafolio difundido en la región</w:t>
            </w:r>
          </w:p>
        </w:tc>
        <w:tc>
          <w:tcPr>
            <w:tcW w:w="322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 Diseño de estrategia de promoción y difusión del programa</w:t>
            </w:r>
          </w:p>
        </w:tc>
        <w:tc>
          <w:tcPr>
            <w:tcW w:w="404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Documento de estrategia</w:t>
            </w:r>
          </w:p>
        </w:tc>
        <w:tc>
          <w:tcPr>
            <w:tcW w:w="1900" w:type="dxa"/>
            <w:tcBorders>
              <w:top w:val="nil"/>
              <w:left w:val="nil"/>
              <w:bottom w:val="single" w:sz="4" w:space="0" w:color="auto"/>
              <w:right w:val="single" w:sz="8"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21 países miembros</w:t>
            </w:r>
          </w:p>
        </w:tc>
      </w:tr>
      <w:tr w:rsidR="00E039A3" w:rsidRPr="008D73D3" w:rsidTr="00607EEB">
        <w:trPr>
          <w:trHeight w:val="1260"/>
        </w:trPr>
        <w:tc>
          <w:tcPr>
            <w:tcW w:w="3000" w:type="dxa"/>
            <w:vMerge/>
            <w:tcBorders>
              <w:left w:val="single" w:sz="8" w:space="0" w:color="auto"/>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b/>
                <w:bCs/>
                <w:color w:val="000000"/>
                <w:sz w:val="23"/>
                <w:szCs w:val="23"/>
                <w:lang w:val="es-ES" w:eastAsia="es-ES"/>
              </w:rPr>
            </w:pPr>
          </w:p>
        </w:tc>
        <w:tc>
          <w:tcPr>
            <w:tcW w:w="3500" w:type="dxa"/>
            <w:tcBorders>
              <w:top w:val="nil"/>
              <w:left w:val="nil"/>
              <w:bottom w:val="single" w:sz="4" w:space="0" w:color="auto"/>
              <w:right w:val="single" w:sz="8"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Operación directa o mediante alianzas con entidades públicas y privadas en la región</w:t>
            </w:r>
          </w:p>
        </w:tc>
        <w:tc>
          <w:tcPr>
            <w:tcW w:w="3220" w:type="dxa"/>
            <w:tcBorders>
              <w:top w:val="nil"/>
              <w:left w:val="single" w:sz="4" w:space="0" w:color="auto"/>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Agenda de contactos</w:t>
            </w:r>
          </w:p>
        </w:tc>
        <w:tc>
          <w:tcPr>
            <w:tcW w:w="4040" w:type="dxa"/>
            <w:tcBorders>
              <w:top w:val="nil"/>
              <w:left w:val="nil"/>
              <w:bottom w:val="single" w:sz="4" w:space="0" w:color="auto"/>
              <w:right w:val="single" w:sz="4"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beneficiarios, cursos dictados y número de convenios firmados</w:t>
            </w:r>
          </w:p>
        </w:tc>
        <w:tc>
          <w:tcPr>
            <w:tcW w:w="1900" w:type="dxa"/>
            <w:tcBorders>
              <w:top w:val="nil"/>
              <w:left w:val="nil"/>
              <w:bottom w:val="single" w:sz="4" w:space="0" w:color="auto"/>
              <w:right w:val="single" w:sz="8" w:space="0" w:color="auto"/>
            </w:tcBorders>
            <w:shd w:val="clear" w:color="000000" w:fill="FFFFFF"/>
            <w:vAlign w:val="center"/>
            <w:hideMark/>
          </w:tcPr>
          <w:p w:rsidR="00E039A3" w:rsidRPr="008D73D3" w:rsidRDefault="00E039A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8</w:t>
            </w:r>
          </w:p>
        </w:tc>
      </w:tr>
      <w:tr w:rsidR="008D73D3" w:rsidRPr="008D73D3" w:rsidTr="00E039A3">
        <w:trPr>
          <w:trHeight w:val="1110"/>
        </w:trPr>
        <w:tc>
          <w:tcPr>
            <w:tcW w:w="3000" w:type="dxa"/>
            <w:tcBorders>
              <w:top w:val="single" w:sz="4" w:space="0" w:color="auto"/>
              <w:left w:val="single" w:sz="8" w:space="0" w:color="auto"/>
              <w:bottom w:val="single" w:sz="8" w:space="0" w:color="000000"/>
              <w:right w:val="single" w:sz="4" w:space="0" w:color="auto"/>
            </w:tcBorders>
            <w:shd w:val="clear" w:color="000000" w:fill="FFFFFF"/>
            <w:vAlign w:val="center"/>
            <w:hideMark/>
          </w:tcPr>
          <w:p w:rsidR="008D73D3" w:rsidRPr="008D73D3" w:rsidRDefault="00E039A3" w:rsidP="00E039A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Programas de formación virtual y presencial</w:t>
            </w:r>
          </w:p>
        </w:tc>
        <w:tc>
          <w:tcPr>
            <w:tcW w:w="350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Conferencias de actualización  sobre tendencias del sector</w:t>
            </w:r>
          </w:p>
        </w:tc>
        <w:tc>
          <w:tcPr>
            <w:tcW w:w="3220" w:type="dxa"/>
            <w:tcBorders>
              <w:top w:val="single" w:sz="4" w:space="0" w:color="auto"/>
              <w:left w:val="nil"/>
              <w:bottom w:val="single" w:sz="4" w:space="0" w:color="auto"/>
              <w:right w:val="nil"/>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Realizar conferencias sobre temas de especialidad del CERLALC </w:t>
            </w:r>
          </w:p>
        </w:tc>
        <w:tc>
          <w:tcPr>
            <w:tcW w:w="4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conferencias y participantes</w:t>
            </w:r>
          </w:p>
        </w:tc>
        <w:tc>
          <w:tcPr>
            <w:tcW w:w="1900" w:type="dxa"/>
            <w:tcBorders>
              <w:top w:val="single" w:sz="4" w:space="0" w:color="auto"/>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8</w:t>
            </w:r>
          </w:p>
        </w:tc>
      </w:tr>
      <w:tr w:rsidR="008D73D3" w:rsidRPr="008D73D3" w:rsidTr="00FE5EF3">
        <w:trPr>
          <w:trHeight w:val="345"/>
        </w:trPr>
        <w:tc>
          <w:tcPr>
            <w:tcW w:w="15660"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4. Eventos</w:t>
            </w:r>
          </w:p>
        </w:tc>
      </w:tr>
      <w:tr w:rsidR="008D73D3" w:rsidRPr="008D73D3" w:rsidTr="00FE5EF3">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Objetivo de referencia</w:t>
            </w:r>
          </w:p>
        </w:tc>
      </w:tr>
      <w:tr w:rsidR="008D73D3" w:rsidRPr="008D73D3" w:rsidTr="00FE5EF3">
        <w:trPr>
          <w:trHeight w:val="540"/>
        </w:trPr>
        <w:tc>
          <w:tcPr>
            <w:tcW w:w="3000" w:type="dxa"/>
            <w:vMerge w:val="restart"/>
            <w:tcBorders>
              <w:top w:val="nil"/>
              <w:left w:val="single" w:sz="8" w:space="0" w:color="auto"/>
              <w:bottom w:val="nil"/>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Primera Infancia y Dispositivos Digitales</w:t>
            </w:r>
          </w:p>
        </w:tc>
        <w:tc>
          <w:tcPr>
            <w:tcW w:w="3500" w:type="dxa"/>
            <w:vMerge w:val="restart"/>
            <w:tcBorders>
              <w:top w:val="nil"/>
              <w:left w:val="single" w:sz="4" w:space="0" w:color="auto"/>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Realización de seminario sobre Primera Infancia y uso de dispositivos digitales</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Definición temática</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Programa elaborado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FE5EF3">
        <w:trPr>
          <w:trHeight w:val="81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y convocatoria de conferencistas internacionales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conferencistas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5</w:t>
            </w:r>
          </w:p>
        </w:tc>
      </w:tr>
      <w:tr w:rsidR="008D73D3" w:rsidRPr="008D73D3" w:rsidTr="00FE5EF3">
        <w:trPr>
          <w:trHeight w:val="3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Realizar el seminario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participantes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150</w:t>
            </w:r>
          </w:p>
        </w:tc>
      </w:tr>
      <w:tr w:rsidR="008D73D3" w:rsidRPr="008D73D3" w:rsidTr="00FE5EF3">
        <w:trPr>
          <w:trHeight w:val="300"/>
        </w:trPr>
        <w:tc>
          <w:tcPr>
            <w:tcW w:w="3000" w:type="dxa"/>
            <w:vMerge/>
            <w:tcBorders>
              <w:top w:val="nil"/>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auto"/>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Memorias del seminario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Memorias publicadas y difundidas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3</w:t>
            </w:r>
          </w:p>
        </w:tc>
      </w:tr>
      <w:tr w:rsidR="008D73D3" w:rsidRPr="008D73D3" w:rsidTr="00FE5EF3">
        <w:trPr>
          <w:trHeight w:val="480"/>
        </w:trPr>
        <w:tc>
          <w:tcPr>
            <w:tcW w:w="3000" w:type="dxa"/>
            <w:vMerge w:val="restart"/>
            <w:tcBorders>
              <w:top w:val="single" w:sz="4" w:space="0" w:color="auto"/>
              <w:left w:val="single" w:sz="8" w:space="0" w:color="auto"/>
              <w:bottom w:val="nil"/>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Compras públicas de contenidos editoriales</w:t>
            </w:r>
          </w:p>
        </w:tc>
        <w:tc>
          <w:tcPr>
            <w:tcW w:w="35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Realización de un seminario  internacional sobre compras públicas de materiales editoriales para el sistema educativo y bibliotecario</w:t>
            </w: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Definición temática</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Programa elaborado</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3E47F2">
        <w:trPr>
          <w:trHeight w:val="658"/>
        </w:trPr>
        <w:tc>
          <w:tcPr>
            <w:tcW w:w="3000" w:type="dxa"/>
            <w:vMerge/>
            <w:tcBorders>
              <w:top w:val="single" w:sz="4" w:space="0" w:color="auto"/>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Identificación y convocatoria de conferencistas internacionales</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conferencistas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5</w:t>
            </w:r>
          </w:p>
        </w:tc>
      </w:tr>
      <w:tr w:rsidR="008D73D3" w:rsidRPr="008D73D3" w:rsidTr="00FE5EF3">
        <w:trPr>
          <w:trHeight w:val="435"/>
        </w:trPr>
        <w:tc>
          <w:tcPr>
            <w:tcW w:w="3000" w:type="dxa"/>
            <w:vMerge/>
            <w:tcBorders>
              <w:top w:val="single" w:sz="4" w:space="0" w:color="auto"/>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Realizar el seminario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participantes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100</w:t>
            </w:r>
          </w:p>
        </w:tc>
      </w:tr>
      <w:tr w:rsidR="008D73D3" w:rsidRPr="008D73D3" w:rsidTr="00FE5EF3">
        <w:trPr>
          <w:trHeight w:val="705"/>
        </w:trPr>
        <w:tc>
          <w:tcPr>
            <w:tcW w:w="3000" w:type="dxa"/>
            <w:vMerge/>
            <w:tcBorders>
              <w:top w:val="single" w:sz="4" w:space="0" w:color="auto"/>
              <w:left w:val="single" w:sz="8" w:space="0" w:color="auto"/>
              <w:bottom w:val="nil"/>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auto" w:fill="auto"/>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Memorias del seminario</w:t>
            </w:r>
          </w:p>
        </w:tc>
        <w:tc>
          <w:tcPr>
            <w:tcW w:w="404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center"/>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Memorias publicadas y difundidas</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8D73D3" w:rsidRPr="008D73D3" w:rsidTr="00AA1EF5">
        <w:trPr>
          <w:trHeight w:val="346"/>
        </w:trPr>
        <w:tc>
          <w:tcPr>
            <w:tcW w:w="15660" w:type="dxa"/>
            <w:gridSpan w:val="5"/>
            <w:tcBorders>
              <w:top w:val="single" w:sz="4" w:space="0" w:color="auto"/>
              <w:left w:val="single" w:sz="8" w:space="0" w:color="auto"/>
              <w:bottom w:val="single" w:sz="4" w:space="0" w:color="auto"/>
              <w:right w:val="single" w:sz="8" w:space="0" w:color="000000"/>
            </w:tcBorders>
            <w:shd w:val="clear" w:color="000000" w:fill="BFBFBF"/>
            <w:noWrap/>
            <w:vAlign w:val="bottom"/>
            <w:hideMark/>
          </w:tcPr>
          <w:p w:rsidR="008D73D3" w:rsidRPr="008D73D3" w:rsidRDefault="008D73D3" w:rsidP="008D73D3">
            <w:pPr>
              <w:spacing w:after="0" w:line="240" w:lineRule="auto"/>
              <w:jc w:val="center"/>
              <w:rPr>
                <w:rFonts w:ascii="Myriad Pro" w:eastAsia="Times New Roman" w:hAnsi="Myriad Pro"/>
                <w:b/>
                <w:bCs/>
                <w:color w:val="000000"/>
                <w:szCs w:val="25"/>
                <w:lang w:val="es-ES" w:eastAsia="es-ES"/>
              </w:rPr>
            </w:pPr>
            <w:r w:rsidRPr="008D73D3">
              <w:rPr>
                <w:rFonts w:ascii="Myriad Pro" w:eastAsia="Times New Roman" w:hAnsi="Myriad Pro"/>
                <w:b/>
                <w:bCs/>
                <w:color w:val="000000"/>
                <w:szCs w:val="25"/>
                <w:lang w:val="es-ES" w:eastAsia="es-ES"/>
              </w:rPr>
              <w:t>5. Comunicaciones y Publicaciones</w:t>
            </w:r>
          </w:p>
        </w:tc>
      </w:tr>
      <w:tr w:rsidR="008D73D3" w:rsidRPr="008D73D3" w:rsidTr="003E47F2">
        <w:trPr>
          <w:trHeight w:val="600"/>
        </w:trPr>
        <w:tc>
          <w:tcPr>
            <w:tcW w:w="3000" w:type="dxa"/>
            <w:tcBorders>
              <w:top w:val="nil"/>
              <w:left w:val="single" w:sz="8" w:space="0" w:color="auto"/>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Área de acción</w:t>
            </w:r>
          </w:p>
        </w:tc>
        <w:tc>
          <w:tcPr>
            <w:tcW w:w="350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Resultados esperados</w:t>
            </w:r>
          </w:p>
        </w:tc>
        <w:tc>
          <w:tcPr>
            <w:tcW w:w="322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Actividades</w:t>
            </w:r>
          </w:p>
        </w:tc>
        <w:tc>
          <w:tcPr>
            <w:tcW w:w="4040" w:type="dxa"/>
            <w:tcBorders>
              <w:top w:val="nil"/>
              <w:left w:val="nil"/>
              <w:bottom w:val="single" w:sz="4" w:space="0" w:color="auto"/>
              <w:right w:val="single" w:sz="4"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Indicadores de resultado</w:t>
            </w:r>
          </w:p>
        </w:tc>
        <w:tc>
          <w:tcPr>
            <w:tcW w:w="1900" w:type="dxa"/>
            <w:tcBorders>
              <w:top w:val="nil"/>
              <w:left w:val="nil"/>
              <w:bottom w:val="single" w:sz="4" w:space="0" w:color="auto"/>
              <w:right w:val="single" w:sz="8" w:space="0" w:color="auto"/>
            </w:tcBorders>
            <w:shd w:val="clear" w:color="auto" w:fill="FFC000"/>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Objetivo de referencia</w:t>
            </w:r>
          </w:p>
        </w:tc>
      </w:tr>
      <w:tr w:rsidR="008D73D3" w:rsidRPr="008D73D3" w:rsidTr="003E47F2">
        <w:trPr>
          <w:trHeight w:val="810"/>
        </w:trPr>
        <w:tc>
          <w:tcPr>
            <w:tcW w:w="3000" w:type="dxa"/>
            <w:tcBorders>
              <w:top w:val="nil"/>
              <w:left w:val="single" w:sz="8" w:space="0" w:color="auto"/>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lastRenderedPageBreak/>
              <w:t>Comunicaciones</w:t>
            </w:r>
          </w:p>
        </w:tc>
        <w:tc>
          <w:tcPr>
            <w:tcW w:w="3500" w:type="dxa"/>
            <w:tcBorders>
              <w:top w:val="nil"/>
              <w:left w:val="single" w:sz="4" w:space="0" w:color="auto"/>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y ejecución de una estrategia que amplíe la visibilidad del CERLALC en la región</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Rediseño de la página web del CERLALC</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Página web rediseñada</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w:t>
            </w:r>
          </w:p>
        </w:tc>
      </w:tr>
      <w:tr w:rsidR="003E47F2" w:rsidRPr="008D73D3" w:rsidTr="00607EEB">
        <w:trPr>
          <w:trHeight w:val="1020"/>
        </w:trPr>
        <w:tc>
          <w:tcPr>
            <w:tcW w:w="3000" w:type="dxa"/>
            <w:vMerge w:val="restart"/>
            <w:tcBorders>
              <w:top w:val="single" w:sz="4" w:space="0" w:color="auto"/>
              <w:left w:val="single" w:sz="4" w:space="0" w:color="auto"/>
              <w:right w:val="single" w:sz="4" w:space="0" w:color="auto"/>
            </w:tcBorders>
            <w:shd w:val="clear" w:color="000000" w:fill="FFFFFF"/>
            <w:vAlign w:val="center"/>
            <w:hideMark/>
          </w:tcPr>
          <w:p w:rsidR="003E47F2" w:rsidRPr="008D73D3" w:rsidRDefault="003E47F2" w:rsidP="003E47F2">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Comunicaciones</w:t>
            </w:r>
          </w:p>
        </w:tc>
        <w:tc>
          <w:tcPr>
            <w:tcW w:w="3500" w:type="dxa"/>
            <w:vMerge w:val="restart"/>
            <w:tcBorders>
              <w:top w:val="single" w:sz="4" w:space="0" w:color="auto"/>
              <w:left w:val="single" w:sz="4" w:space="0" w:color="auto"/>
              <w:right w:val="single" w:sz="4" w:space="0" w:color="auto"/>
            </w:tcBorders>
            <w:shd w:val="clear" w:color="000000" w:fill="FFFFFF"/>
            <w:vAlign w:val="center"/>
            <w:hideMark/>
          </w:tcPr>
          <w:p w:rsidR="003E47F2" w:rsidRPr="008D73D3" w:rsidRDefault="003E47F2" w:rsidP="008D73D3">
            <w:pPr>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Diseño y ejecución de una estrategia que amplíe la visibilidad del CERLALC en la región</w:t>
            </w: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Rediseño de publicaciones virtuales del CERLALC</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Publicaciones virtuales rediseñadas</w:t>
            </w:r>
          </w:p>
        </w:tc>
        <w:tc>
          <w:tcPr>
            <w:tcW w:w="1900" w:type="dxa"/>
            <w:tcBorders>
              <w:top w:val="single" w:sz="4" w:space="0" w:color="auto"/>
              <w:left w:val="nil"/>
              <w:bottom w:val="single" w:sz="4" w:space="0" w:color="auto"/>
              <w:right w:val="single" w:sz="8" w:space="0" w:color="auto"/>
            </w:tcBorders>
            <w:shd w:val="clear" w:color="000000" w:fill="FFFFFF"/>
            <w:noWrap/>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2</w:t>
            </w:r>
          </w:p>
        </w:tc>
      </w:tr>
      <w:tr w:rsidR="003E47F2" w:rsidRPr="00704383" w:rsidTr="00607EEB">
        <w:trPr>
          <w:trHeight w:val="960"/>
        </w:trPr>
        <w:tc>
          <w:tcPr>
            <w:tcW w:w="3000" w:type="dxa"/>
            <w:vMerge/>
            <w:tcBorders>
              <w:left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left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single" w:sz="4" w:space="0" w:color="auto"/>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Incremento de la presencia en redes sociales</w:t>
            </w:r>
          </w:p>
        </w:tc>
        <w:tc>
          <w:tcPr>
            <w:tcW w:w="4040" w:type="dxa"/>
            <w:tcBorders>
              <w:top w:val="nil"/>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Estadísticas de difusión a través de Twitter, Facebook e Instagram</w:t>
            </w:r>
          </w:p>
        </w:tc>
        <w:tc>
          <w:tcPr>
            <w:tcW w:w="1900" w:type="dxa"/>
            <w:tcBorders>
              <w:top w:val="nil"/>
              <w:left w:val="nil"/>
              <w:bottom w:val="single" w:sz="4" w:space="0" w:color="auto"/>
              <w:right w:val="single" w:sz="8" w:space="0" w:color="auto"/>
            </w:tcBorders>
            <w:shd w:val="clear" w:color="000000" w:fill="FFFFFF"/>
            <w:noWrap/>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w:t>
            </w:r>
          </w:p>
        </w:tc>
      </w:tr>
      <w:tr w:rsidR="003E47F2" w:rsidRPr="00704383" w:rsidTr="00607EEB">
        <w:trPr>
          <w:trHeight w:val="1395"/>
        </w:trPr>
        <w:tc>
          <w:tcPr>
            <w:tcW w:w="3000" w:type="dxa"/>
            <w:vMerge/>
            <w:tcBorders>
              <w:left w:val="single" w:sz="4" w:space="0" w:color="auto"/>
              <w:bottom w:val="single" w:sz="4" w:space="0" w:color="000000"/>
              <w:right w:val="single" w:sz="4" w:space="0" w:color="auto"/>
            </w:tcBorders>
            <w:vAlign w:val="center"/>
            <w:hideMark/>
          </w:tcPr>
          <w:p w:rsidR="003E47F2" w:rsidRPr="008D73D3" w:rsidRDefault="003E47F2"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left w:val="single" w:sz="4" w:space="0" w:color="auto"/>
              <w:bottom w:val="single" w:sz="4" w:space="0" w:color="000000"/>
              <w:right w:val="single" w:sz="4" w:space="0" w:color="auto"/>
            </w:tcBorders>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Incremento de la presencia del CERLALC en los medios de comunicación en la región</w:t>
            </w:r>
          </w:p>
        </w:tc>
        <w:tc>
          <w:tcPr>
            <w:tcW w:w="4040" w:type="dxa"/>
            <w:tcBorders>
              <w:top w:val="nil"/>
              <w:left w:val="nil"/>
              <w:bottom w:val="single" w:sz="4" w:space="0" w:color="auto"/>
              <w:right w:val="single" w:sz="4" w:space="0" w:color="auto"/>
            </w:tcBorders>
            <w:shd w:val="clear" w:color="000000" w:fill="FFFFFF"/>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apariciones en medios de comunicación</w:t>
            </w:r>
          </w:p>
        </w:tc>
        <w:tc>
          <w:tcPr>
            <w:tcW w:w="1900" w:type="dxa"/>
            <w:tcBorders>
              <w:top w:val="nil"/>
              <w:left w:val="nil"/>
              <w:bottom w:val="single" w:sz="4" w:space="0" w:color="auto"/>
              <w:right w:val="single" w:sz="8" w:space="0" w:color="auto"/>
            </w:tcBorders>
            <w:shd w:val="clear" w:color="000000" w:fill="FFFFFF"/>
            <w:noWrap/>
            <w:vAlign w:val="center"/>
            <w:hideMark/>
          </w:tcPr>
          <w:p w:rsidR="003E47F2" w:rsidRPr="008D73D3" w:rsidRDefault="003E47F2"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w:t>
            </w:r>
          </w:p>
        </w:tc>
      </w:tr>
      <w:tr w:rsidR="008D73D3" w:rsidRPr="008D73D3" w:rsidTr="00FE5EF3">
        <w:trPr>
          <w:trHeight w:val="615"/>
        </w:trPr>
        <w:tc>
          <w:tcPr>
            <w:tcW w:w="3000"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8D73D3" w:rsidRPr="008D73D3" w:rsidRDefault="008D73D3" w:rsidP="008D73D3">
            <w:pPr>
              <w:spacing w:after="0" w:line="240" w:lineRule="auto"/>
              <w:jc w:val="center"/>
              <w:rPr>
                <w:rFonts w:ascii="Myriad Pro" w:eastAsia="Times New Roman" w:hAnsi="Myriad Pro"/>
                <w:b/>
                <w:bCs/>
                <w:color w:val="000000"/>
                <w:sz w:val="23"/>
                <w:szCs w:val="23"/>
                <w:lang w:val="es-ES" w:eastAsia="es-ES"/>
              </w:rPr>
            </w:pPr>
            <w:r w:rsidRPr="008D73D3">
              <w:rPr>
                <w:rFonts w:ascii="Myriad Pro" w:eastAsia="Times New Roman" w:hAnsi="Myriad Pro"/>
                <w:b/>
                <w:bCs/>
                <w:color w:val="000000"/>
                <w:sz w:val="23"/>
                <w:szCs w:val="23"/>
                <w:lang w:val="es-ES" w:eastAsia="es-ES"/>
              </w:rPr>
              <w:t>Publicaciones</w:t>
            </w:r>
          </w:p>
        </w:tc>
        <w:tc>
          <w:tcPr>
            <w:tcW w:w="350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Fortalecimiento de la oferta editorial especializada del CERLALC</w:t>
            </w: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Colección Breves</w:t>
            </w:r>
          </w:p>
        </w:tc>
        <w:tc>
          <w:tcPr>
            <w:tcW w:w="40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Número de títulos publicados</w:t>
            </w:r>
          </w:p>
        </w:tc>
        <w:tc>
          <w:tcPr>
            <w:tcW w:w="1900" w:type="dxa"/>
            <w:vMerge w:val="restart"/>
            <w:tcBorders>
              <w:top w:val="nil"/>
              <w:left w:val="single" w:sz="4" w:space="0" w:color="auto"/>
              <w:bottom w:val="single" w:sz="4" w:space="0" w:color="000000"/>
              <w:right w:val="single" w:sz="8"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12 títulos</w:t>
            </w:r>
          </w:p>
        </w:tc>
      </w:tr>
      <w:tr w:rsidR="008D73D3" w:rsidRPr="00704383" w:rsidTr="00FE5EF3">
        <w:trPr>
          <w:trHeight w:val="600"/>
        </w:trPr>
        <w:tc>
          <w:tcPr>
            <w:tcW w:w="3000" w:type="dxa"/>
            <w:vMerge/>
            <w:tcBorders>
              <w:top w:val="nil"/>
              <w:left w:val="single" w:sz="8"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Colección Oficios del Libro y la Lectura</w:t>
            </w:r>
          </w:p>
        </w:tc>
        <w:tc>
          <w:tcPr>
            <w:tcW w:w="404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1900" w:type="dxa"/>
            <w:vMerge/>
            <w:tcBorders>
              <w:top w:val="nil"/>
              <w:left w:val="single" w:sz="4" w:space="0" w:color="auto"/>
              <w:bottom w:val="single" w:sz="4" w:space="0" w:color="000000"/>
              <w:right w:val="single" w:sz="8"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r>
      <w:tr w:rsidR="008D73D3" w:rsidRPr="008D73D3" w:rsidTr="00FE5EF3">
        <w:trPr>
          <w:trHeight w:val="600"/>
        </w:trPr>
        <w:tc>
          <w:tcPr>
            <w:tcW w:w="3000" w:type="dxa"/>
            <w:vMerge/>
            <w:tcBorders>
              <w:top w:val="nil"/>
              <w:left w:val="single" w:sz="8"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Colección Acervos</w:t>
            </w:r>
          </w:p>
        </w:tc>
        <w:tc>
          <w:tcPr>
            <w:tcW w:w="4040" w:type="dxa"/>
            <w:vMerge/>
            <w:tcBorders>
              <w:top w:val="nil"/>
              <w:left w:val="single" w:sz="4" w:space="0" w:color="auto"/>
              <w:bottom w:val="single" w:sz="4"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1900" w:type="dxa"/>
            <w:vMerge/>
            <w:tcBorders>
              <w:top w:val="nil"/>
              <w:left w:val="single" w:sz="4" w:space="0" w:color="auto"/>
              <w:bottom w:val="single" w:sz="4" w:space="0" w:color="000000"/>
              <w:right w:val="single" w:sz="8"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r>
      <w:tr w:rsidR="008D73D3" w:rsidRPr="008D73D3" w:rsidTr="00FE5EF3">
        <w:trPr>
          <w:trHeight w:val="600"/>
        </w:trPr>
        <w:tc>
          <w:tcPr>
            <w:tcW w:w="3000" w:type="dxa"/>
            <w:vMerge/>
            <w:tcBorders>
              <w:top w:val="nil"/>
              <w:left w:val="single" w:sz="8"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EL espacio iberoamericano del libro 2016</w:t>
            </w:r>
          </w:p>
        </w:tc>
        <w:tc>
          <w:tcPr>
            <w:tcW w:w="404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Publicación y difusión</w:t>
            </w: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1título</w:t>
            </w:r>
          </w:p>
        </w:tc>
      </w:tr>
      <w:tr w:rsidR="008D73D3" w:rsidRPr="008D73D3" w:rsidTr="00FE5EF3">
        <w:trPr>
          <w:trHeight w:val="300"/>
        </w:trPr>
        <w:tc>
          <w:tcPr>
            <w:tcW w:w="3000" w:type="dxa"/>
            <w:vMerge/>
            <w:tcBorders>
              <w:top w:val="nil"/>
              <w:left w:val="single" w:sz="8"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4"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Boletín </w:t>
            </w:r>
            <w:r w:rsidRPr="008D73D3">
              <w:rPr>
                <w:rFonts w:ascii="Myriad Pro" w:eastAsia="Times New Roman" w:hAnsi="Myriad Pro"/>
                <w:i/>
                <w:iCs/>
                <w:color w:val="000000"/>
                <w:sz w:val="23"/>
                <w:szCs w:val="23"/>
                <w:lang w:val="es-ES" w:eastAsia="es-ES"/>
              </w:rPr>
              <w:t>El libro en cifras</w:t>
            </w:r>
          </w:p>
        </w:tc>
        <w:tc>
          <w:tcPr>
            <w:tcW w:w="404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1900" w:type="dxa"/>
            <w:tcBorders>
              <w:top w:val="nil"/>
              <w:left w:val="nil"/>
              <w:bottom w:val="single" w:sz="4"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4 números</w:t>
            </w:r>
          </w:p>
        </w:tc>
      </w:tr>
      <w:tr w:rsidR="008D73D3" w:rsidRPr="008D73D3" w:rsidTr="00FE5EF3">
        <w:trPr>
          <w:trHeight w:val="315"/>
        </w:trPr>
        <w:tc>
          <w:tcPr>
            <w:tcW w:w="3000" w:type="dxa"/>
            <w:vMerge/>
            <w:tcBorders>
              <w:top w:val="nil"/>
              <w:left w:val="single" w:sz="8"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b/>
                <w:bCs/>
                <w:color w:val="000000"/>
                <w:sz w:val="23"/>
                <w:szCs w:val="23"/>
                <w:lang w:val="es-ES" w:eastAsia="es-ES"/>
              </w:rPr>
            </w:pPr>
          </w:p>
        </w:tc>
        <w:tc>
          <w:tcPr>
            <w:tcW w:w="350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3220" w:type="dxa"/>
            <w:tcBorders>
              <w:top w:val="nil"/>
              <w:left w:val="nil"/>
              <w:bottom w:val="single" w:sz="8" w:space="0" w:color="auto"/>
              <w:right w:val="single" w:sz="4" w:space="0" w:color="auto"/>
            </w:tcBorders>
            <w:shd w:val="clear" w:color="000000" w:fill="FFFFFF"/>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 xml:space="preserve">Revista virtual </w:t>
            </w:r>
            <w:r w:rsidRPr="008D73D3">
              <w:rPr>
                <w:rFonts w:ascii="Myriad Pro" w:eastAsia="Times New Roman" w:hAnsi="Myriad Pro"/>
                <w:i/>
                <w:iCs/>
                <w:color w:val="000000"/>
                <w:sz w:val="23"/>
                <w:szCs w:val="23"/>
                <w:lang w:val="es-ES" w:eastAsia="es-ES"/>
              </w:rPr>
              <w:t>Pensar el libro</w:t>
            </w:r>
          </w:p>
        </w:tc>
        <w:tc>
          <w:tcPr>
            <w:tcW w:w="4040" w:type="dxa"/>
            <w:vMerge/>
            <w:tcBorders>
              <w:top w:val="nil"/>
              <w:left w:val="single" w:sz="4" w:space="0" w:color="auto"/>
              <w:bottom w:val="single" w:sz="8" w:space="0" w:color="000000"/>
              <w:right w:val="single" w:sz="4" w:space="0" w:color="auto"/>
            </w:tcBorders>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p>
        </w:tc>
        <w:tc>
          <w:tcPr>
            <w:tcW w:w="1900" w:type="dxa"/>
            <w:tcBorders>
              <w:top w:val="nil"/>
              <w:left w:val="nil"/>
              <w:bottom w:val="single" w:sz="8" w:space="0" w:color="auto"/>
              <w:right w:val="single" w:sz="8" w:space="0" w:color="auto"/>
            </w:tcBorders>
            <w:shd w:val="clear" w:color="000000" w:fill="FFFFFF"/>
            <w:noWrap/>
            <w:vAlign w:val="center"/>
            <w:hideMark/>
          </w:tcPr>
          <w:p w:rsidR="008D73D3" w:rsidRPr="008D73D3" w:rsidRDefault="008D73D3" w:rsidP="008D73D3">
            <w:pPr>
              <w:spacing w:after="0" w:line="240" w:lineRule="auto"/>
              <w:jc w:val="left"/>
              <w:rPr>
                <w:rFonts w:ascii="Myriad Pro" w:eastAsia="Times New Roman" w:hAnsi="Myriad Pro"/>
                <w:color w:val="000000"/>
                <w:sz w:val="23"/>
                <w:szCs w:val="23"/>
                <w:lang w:val="es-ES" w:eastAsia="es-ES"/>
              </w:rPr>
            </w:pPr>
            <w:r w:rsidRPr="008D73D3">
              <w:rPr>
                <w:rFonts w:ascii="Myriad Pro" w:eastAsia="Times New Roman" w:hAnsi="Myriad Pro"/>
                <w:color w:val="000000"/>
                <w:sz w:val="23"/>
                <w:szCs w:val="23"/>
                <w:lang w:val="es-ES" w:eastAsia="es-ES"/>
              </w:rPr>
              <w:t>4 números</w:t>
            </w:r>
          </w:p>
        </w:tc>
      </w:tr>
    </w:tbl>
    <w:p w:rsidR="008D73D3" w:rsidRDefault="008D73D3" w:rsidP="005775F4">
      <w:pPr>
        <w:rPr>
          <w:kern w:val="32"/>
          <w:lang w:val="es-CO"/>
        </w:rPr>
      </w:pPr>
    </w:p>
    <w:p w:rsidR="009A6C8F" w:rsidRPr="0041191B" w:rsidRDefault="009A6C8F" w:rsidP="00FE5EF3">
      <w:pPr>
        <w:pStyle w:val="Ttulo1"/>
      </w:pPr>
      <w:bookmarkStart w:id="66" w:name="_Toc433262680"/>
      <w:bookmarkStart w:id="67" w:name="_Toc446953667"/>
      <w:bookmarkEnd w:id="5"/>
      <w:r w:rsidRPr="0041191B">
        <w:lastRenderedPageBreak/>
        <w:t>Pertinencia de los proyectos del CERLALC con el Programa de la UNESCO 3</w:t>
      </w:r>
      <w:r w:rsidR="00012CFB" w:rsidRPr="0041191B">
        <w:t>8</w:t>
      </w:r>
      <w:r w:rsidRPr="0041191B">
        <w:t>C/5</w:t>
      </w:r>
      <w:bookmarkEnd w:id="66"/>
      <w:bookmarkEnd w:id="67"/>
    </w:p>
    <w:tbl>
      <w:tblPr>
        <w:tblW w:w="12354" w:type="dxa"/>
        <w:tblInd w:w="1324" w:type="dxa"/>
        <w:tblLayout w:type="fixed"/>
        <w:tblCellMar>
          <w:left w:w="70" w:type="dxa"/>
          <w:right w:w="70" w:type="dxa"/>
        </w:tblCellMar>
        <w:tblLook w:val="04A0"/>
      </w:tblPr>
      <w:tblGrid>
        <w:gridCol w:w="5230"/>
        <w:gridCol w:w="7124"/>
      </w:tblGrid>
      <w:tr w:rsidR="009A6C8F" w:rsidRPr="0041191B" w:rsidTr="00E039A3">
        <w:trPr>
          <w:trHeight w:val="765"/>
          <w:tblHeader/>
        </w:trPr>
        <w:tc>
          <w:tcPr>
            <w:tcW w:w="52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A6C8F" w:rsidRPr="0041191B" w:rsidRDefault="009A6C8F" w:rsidP="00012CFB">
            <w:pPr>
              <w:jc w:val="center"/>
              <w:rPr>
                <w:rFonts w:ascii="Myriad Pro" w:hAnsi="Myriad Pro"/>
                <w:b/>
                <w:bCs/>
                <w:color w:val="000000"/>
                <w:sz w:val="23"/>
                <w:szCs w:val="23"/>
                <w:lang w:val="es-CO" w:eastAsia="es-CO"/>
              </w:rPr>
            </w:pPr>
            <w:bookmarkStart w:id="68" w:name="RANGE!B3:D28"/>
            <w:r w:rsidRPr="0041191B">
              <w:rPr>
                <w:rFonts w:ascii="Myriad Pro" w:hAnsi="Myriad Pro"/>
                <w:b/>
                <w:bCs/>
                <w:color w:val="000000"/>
                <w:sz w:val="23"/>
                <w:szCs w:val="23"/>
                <w:lang w:val="es-CO" w:eastAsia="es-CO"/>
              </w:rPr>
              <w:t>Programa UNESCO 3</w:t>
            </w:r>
            <w:r w:rsidR="00012CFB" w:rsidRPr="0041191B">
              <w:rPr>
                <w:rFonts w:ascii="Myriad Pro" w:hAnsi="Myriad Pro"/>
                <w:b/>
                <w:bCs/>
                <w:color w:val="000000"/>
                <w:sz w:val="23"/>
                <w:szCs w:val="23"/>
                <w:lang w:val="es-CO" w:eastAsia="es-CO"/>
              </w:rPr>
              <w:t>8</w:t>
            </w:r>
            <w:r w:rsidRPr="0041191B">
              <w:rPr>
                <w:rFonts w:ascii="Myriad Pro" w:hAnsi="Myriad Pro"/>
                <w:b/>
                <w:bCs/>
                <w:color w:val="000000"/>
                <w:sz w:val="23"/>
                <w:szCs w:val="23"/>
                <w:lang w:val="es-CO" w:eastAsia="es-CO"/>
              </w:rPr>
              <w:t>C/5</w:t>
            </w:r>
            <w:bookmarkEnd w:id="68"/>
          </w:p>
        </w:tc>
        <w:tc>
          <w:tcPr>
            <w:tcW w:w="7124" w:type="dxa"/>
            <w:tcBorders>
              <w:top w:val="single" w:sz="4" w:space="0" w:color="auto"/>
              <w:left w:val="single" w:sz="4" w:space="0" w:color="auto"/>
              <w:bottom w:val="single" w:sz="4" w:space="0" w:color="auto"/>
              <w:right w:val="single" w:sz="4" w:space="0" w:color="auto"/>
            </w:tcBorders>
            <w:shd w:val="clear" w:color="000000" w:fill="BFBFBF"/>
          </w:tcPr>
          <w:p w:rsidR="009A6C8F" w:rsidRPr="0041191B" w:rsidRDefault="009A6C8F" w:rsidP="008D73D3">
            <w:pPr>
              <w:jc w:val="center"/>
              <w:rPr>
                <w:rFonts w:ascii="Myriad Pro" w:hAnsi="Myriad Pro"/>
                <w:b/>
                <w:bCs/>
                <w:color w:val="000000"/>
                <w:sz w:val="23"/>
                <w:szCs w:val="23"/>
                <w:lang w:val="es-CO" w:eastAsia="es-CO"/>
              </w:rPr>
            </w:pPr>
            <w:r w:rsidRPr="0041191B">
              <w:rPr>
                <w:rFonts w:ascii="Myriad Pro" w:hAnsi="Myriad Pro"/>
                <w:b/>
                <w:bCs/>
                <w:color w:val="000000"/>
                <w:sz w:val="23"/>
                <w:szCs w:val="23"/>
                <w:lang w:val="es-CO" w:eastAsia="es-CO"/>
              </w:rPr>
              <w:t>Proyectos del programa Técnico del CERLALC 2016-2017</w:t>
            </w:r>
          </w:p>
        </w:tc>
      </w:tr>
      <w:tr w:rsidR="009A6C8F" w:rsidRPr="0041191B" w:rsidTr="00E039A3">
        <w:trPr>
          <w:trHeight w:val="775"/>
        </w:trPr>
        <w:tc>
          <w:tcPr>
            <w:tcW w:w="5230" w:type="dxa"/>
            <w:vMerge w:val="restart"/>
            <w:tcBorders>
              <w:top w:val="nil"/>
              <w:left w:val="single" w:sz="4" w:space="0" w:color="auto"/>
              <w:bottom w:val="single" w:sz="4" w:space="0" w:color="auto"/>
              <w:right w:val="single" w:sz="4" w:space="0" w:color="auto"/>
            </w:tcBorders>
            <w:shd w:val="clear" w:color="auto" w:fill="auto"/>
            <w:vAlign w:val="center"/>
            <w:hideMark/>
          </w:tcPr>
          <w:p w:rsidR="009A6C8F" w:rsidRPr="0041191B" w:rsidRDefault="00E039A3" w:rsidP="00E039A3">
            <w:pPr>
              <w:spacing w:after="0" w:line="250" w:lineRule="atLeast"/>
              <w:jc w:val="center"/>
              <w:rPr>
                <w:rFonts w:ascii="Myriad Pro" w:hAnsi="Myriad Pro"/>
                <w:b/>
                <w:bCs/>
                <w:color w:val="000000"/>
                <w:sz w:val="23"/>
                <w:szCs w:val="23"/>
                <w:lang w:val="es-CO" w:eastAsia="es-CO"/>
              </w:rPr>
            </w:pPr>
            <w:r w:rsidRPr="0041191B">
              <w:rPr>
                <w:rFonts w:ascii="Myriad Pro" w:hAnsi="Myriad Pro"/>
                <w:b/>
                <w:bCs/>
                <w:color w:val="000000"/>
                <w:sz w:val="23"/>
                <w:szCs w:val="23"/>
                <w:lang w:val="es-CO" w:eastAsia="es-CO"/>
              </w:rPr>
              <w:t>Gran Programa I</w:t>
            </w:r>
            <w:r w:rsidR="009A6C8F" w:rsidRPr="0041191B">
              <w:rPr>
                <w:rFonts w:ascii="Myriad Pro" w:hAnsi="Myriad Pro"/>
                <w:b/>
                <w:bCs/>
                <w:color w:val="000000"/>
                <w:sz w:val="23"/>
                <w:szCs w:val="23"/>
                <w:lang w:val="es-CO" w:eastAsia="es-CO"/>
              </w:rPr>
              <w:t>-Educación</w:t>
            </w:r>
          </w:p>
          <w:p w:rsidR="009A6C8F" w:rsidRPr="0041191B" w:rsidRDefault="009A6C8F" w:rsidP="00E039A3">
            <w:pPr>
              <w:spacing w:after="0" w:line="250" w:lineRule="atLeast"/>
              <w:jc w:val="center"/>
              <w:rPr>
                <w:rFonts w:ascii="Myriad Pro" w:hAnsi="Myriad Pro"/>
                <w:b/>
                <w:bCs/>
                <w:color w:val="000000"/>
                <w:sz w:val="23"/>
                <w:szCs w:val="23"/>
                <w:lang w:val="es-CO" w:eastAsia="es-CO"/>
              </w:rPr>
            </w:pP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b/>
                <w:bCs/>
                <w:color w:val="000000"/>
                <w:sz w:val="23"/>
                <w:szCs w:val="23"/>
                <w:lang w:val="es-CO" w:eastAsia="es-CO"/>
              </w:rPr>
              <w:t>Eje de acción 1:</w:t>
            </w:r>
            <w:r w:rsidRPr="0041191B">
              <w:rPr>
                <w:rFonts w:ascii="Myriad Pro" w:hAnsi="Myriad Pro"/>
                <w:color w:val="000000"/>
                <w:sz w:val="23"/>
                <w:szCs w:val="23"/>
                <w:lang w:val="es-CO" w:eastAsia="es-CO"/>
              </w:rPr>
              <w:t xml:space="preserve"> Apoyar a los Estados Miembros en el desarrollo de sistemas educativos que promuevan un aprendizaje a lo largo de toda la vida para todos, de gran calidad e inclusivo.</w:t>
            </w: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color w:val="000000"/>
                <w:sz w:val="23"/>
                <w:szCs w:val="23"/>
                <w:lang w:val="es-CO" w:eastAsia="es-CO"/>
              </w:rPr>
              <w:br/>
            </w:r>
            <w:r w:rsidRPr="0041191B">
              <w:rPr>
                <w:rFonts w:ascii="Myriad Pro" w:hAnsi="Myriad Pro"/>
                <w:b/>
                <w:bCs/>
                <w:color w:val="000000"/>
                <w:sz w:val="23"/>
                <w:szCs w:val="23"/>
                <w:lang w:val="es-CO" w:eastAsia="es-CO"/>
              </w:rPr>
              <w:t>Resultado esperado No. 1</w:t>
            </w:r>
            <w:r w:rsidRPr="0041191B">
              <w:rPr>
                <w:rFonts w:ascii="Myriad Pro" w:hAnsi="Myriad Pro"/>
                <w:color w:val="000000"/>
                <w:sz w:val="23"/>
                <w:szCs w:val="23"/>
                <w:lang w:val="es-CO" w:eastAsia="es-CO"/>
              </w:rPr>
              <w:t xml:space="preserve"> Fortalecimiento de las capacidades nacionales de formulación y aplicación de políticas y planes en un marco de aprendizaje a lo largo de toda la vida.</w:t>
            </w: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color w:val="000000"/>
                <w:sz w:val="23"/>
                <w:szCs w:val="23"/>
                <w:lang w:val="es-CO" w:eastAsia="es-CO"/>
              </w:rPr>
              <w:br/>
            </w:r>
            <w:r w:rsidRPr="0041191B">
              <w:rPr>
                <w:rFonts w:ascii="Myriad Pro" w:hAnsi="Myriad Pro"/>
                <w:b/>
                <w:bCs/>
                <w:color w:val="000000"/>
                <w:sz w:val="23"/>
                <w:szCs w:val="23"/>
                <w:lang w:val="es-CO" w:eastAsia="es-CO"/>
              </w:rPr>
              <w:t>Resultado esperado No. 5</w:t>
            </w:r>
            <w:r w:rsidRPr="0041191B">
              <w:rPr>
                <w:rFonts w:ascii="Myriad Pro" w:hAnsi="Myriad Pro"/>
                <w:color w:val="000000"/>
                <w:sz w:val="23"/>
                <w:szCs w:val="23"/>
                <w:lang w:val="es-CO" w:eastAsia="es-CO"/>
              </w:rPr>
              <w:t xml:space="preserve"> Fortalecimiento de las capacidades nacionales, entre otras cosas, por medio de la cooperación regional, para formular y aplicar políticas y estrategias relativas a los docentes a fin de mejorar la calidad de la educación y promover la igualdad de género.</w:t>
            </w: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bCs/>
                <w:color w:val="000000"/>
                <w:sz w:val="23"/>
                <w:szCs w:val="23"/>
                <w:lang w:val="es-CO" w:eastAsia="es-CO"/>
              </w:rPr>
            </w:pPr>
            <w:r w:rsidRPr="0041191B">
              <w:rPr>
                <w:rFonts w:ascii="Myriad Pro" w:hAnsi="Myriad Pro"/>
                <w:bCs/>
                <w:color w:val="000000"/>
                <w:sz w:val="23"/>
                <w:szCs w:val="23"/>
                <w:lang w:val="es-CO" w:eastAsia="es-CO"/>
              </w:rPr>
              <w:t>Observatorio de Cultura y Educación en la Primera Infancia</w:t>
            </w:r>
          </w:p>
        </w:tc>
      </w:tr>
      <w:tr w:rsidR="009A6C8F" w:rsidRPr="0041191B" w:rsidTr="00E039A3">
        <w:trPr>
          <w:trHeight w:val="751"/>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bCs/>
                <w:color w:val="000000"/>
                <w:sz w:val="23"/>
                <w:szCs w:val="23"/>
                <w:lang w:val="es-CO" w:eastAsia="es-CO"/>
              </w:rPr>
              <w:t>Observatorio del Libro, la Lectura y las Bibliotecas</w:t>
            </w:r>
          </w:p>
        </w:tc>
      </w:tr>
      <w:tr w:rsidR="009A6C8F" w:rsidRPr="0041191B" w:rsidTr="00E039A3">
        <w:trPr>
          <w:trHeight w:val="796"/>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Índice de Desarrollo Lector IDL</w:t>
            </w:r>
          </w:p>
        </w:tc>
      </w:tr>
      <w:tr w:rsidR="009A6C8F" w:rsidRPr="0041191B" w:rsidTr="00E039A3">
        <w:trPr>
          <w:trHeight w:val="746"/>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La medición del comportamiento lector en la región</w:t>
            </w:r>
          </w:p>
        </w:tc>
      </w:tr>
      <w:tr w:rsidR="009A6C8F" w:rsidRPr="0041191B" w:rsidTr="00E039A3">
        <w:trPr>
          <w:trHeight w:val="822"/>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Compras públicas de materiales editoriales</w:t>
            </w:r>
          </w:p>
        </w:tc>
      </w:tr>
      <w:tr w:rsidR="009A6C8F" w:rsidRPr="0041191B" w:rsidTr="00E039A3">
        <w:trPr>
          <w:trHeight w:val="835"/>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Estándares de compras públicas para dotación de dispositivos electrónicos en el sistema educativo</w:t>
            </w:r>
          </w:p>
        </w:tc>
      </w:tr>
      <w:tr w:rsidR="009A6C8F" w:rsidRPr="0041191B" w:rsidTr="00E039A3">
        <w:trPr>
          <w:trHeight w:val="1463"/>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center"/>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Programa de Formación y Capacitación</w:t>
            </w:r>
          </w:p>
        </w:tc>
      </w:tr>
      <w:tr w:rsidR="009A6C8F" w:rsidRPr="0041191B" w:rsidTr="00E039A3">
        <w:trPr>
          <w:trHeight w:val="637"/>
        </w:trPr>
        <w:tc>
          <w:tcPr>
            <w:tcW w:w="5230" w:type="dxa"/>
            <w:vMerge w:val="restart"/>
            <w:tcBorders>
              <w:top w:val="nil"/>
              <w:left w:val="single" w:sz="4" w:space="0" w:color="auto"/>
              <w:bottom w:val="single" w:sz="4" w:space="0" w:color="auto"/>
              <w:right w:val="single" w:sz="4" w:space="0" w:color="auto"/>
            </w:tcBorders>
            <w:shd w:val="clear" w:color="auto" w:fill="auto"/>
            <w:vAlign w:val="center"/>
            <w:hideMark/>
          </w:tcPr>
          <w:p w:rsidR="009A6C8F" w:rsidRPr="0041191B" w:rsidRDefault="00E039A3" w:rsidP="00E039A3">
            <w:pPr>
              <w:spacing w:after="0" w:line="250" w:lineRule="atLeast"/>
              <w:jc w:val="center"/>
              <w:rPr>
                <w:rFonts w:ascii="Myriad Pro" w:hAnsi="Myriad Pro"/>
                <w:b/>
                <w:bCs/>
                <w:color w:val="000000"/>
                <w:sz w:val="23"/>
                <w:szCs w:val="23"/>
                <w:lang w:val="es-CO" w:eastAsia="es-CO"/>
              </w:rPr>
            </w:pPr>
            <w:r w:rsidRPr="0041191B">
              <w:rPr>
                <w:rFonts w:ascii="Myriad Pro" w:hAnsi="Myriad Pro"/>
                <w:b/>
                <w:bCs/>
                <w:color w:val="000000"/>
                <w:sz w:val="23"/>
                <w:szCs w:val="23"/>
                <w:lang w:val="es-CO" w:eastAsia="es-CO"/>
              </w:rPr>
              <w:lastRenderedPageBreak/>
              <w:t>Gran Programa IV</w:t>
            </w:r>
            <w:r w:rsidR="009A6C8F" w:rsidRPr="0041191B">
              <w:rPr>
                <w:rFonts w:ascii="Myriad Pro" w:hAnsi="Myriad Pro"/>
                <w:b/>
                <w:bCs/>
                <w:color w:val="000000"/>
                <w:sz w:val="23"/>
                <w:szCs w:val="23"/>
                <w:lang w:val="es-CO" w:eastAsia="es-CO"/>
              </w:rPr>
              <w:t>–Cultura</w:t>
            </w:r>
          </w:p>
          <w:p w:rsidR="009A6C8F" w:rsidRPr="0041191B" w:rsidRDefault="009A6C8F" w:rsidP="00E039A3">
            <w:pPr>
              <w:spacing w:after="0" w:line="250" w:lineRule="atLeast"/>
              <w:jc w:val="center"/>
              <w:rPr>
                <w:rFonts w:ascii="Myriad Pro" w:hAnsi="Myriad Pro"/>
                <w:b/>
                <w:bCs/>
                <w:color w:val="000000"/>
                <w:sz w:val="23"/>
                <w:szCs w:val="23"/>
                <w:lang w:val="es-CO" w:eastAsia="es-CO"/>
              </w:rPr>
            </w:pP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b/>
                <w:bCs/>
                <w:color w:val="000000"/>
                <w:sz w:val="23"/>
                <w:szCs w:val="23"/>
                <w:lang w:val="es-CO" w:eastAsia="es-CO"/>
              </w:rPr>
              <w:t>Eje de acción 2:</w:t>
            </w:r>
            <w:r w:rsidRPr="0041191B">
              <w:rPr>
                <w:rFonts w:ascii="Myriad Pro" w:hAnsi="Myriad Pro"/>
                <w:color w:val="000000"/>
                <w:sz w:val="23"/>
                <w:szCs w:val="23"/>
                <w:lang w:val="es-CO" w:eastAsia="es-CO"/>
              </w:rPr>
              <w:t xml:space="preserve"> Apoyar y promover la diversidad de las expresiones culturales, la salvaguardia del patrimonio cultural inmaterial y el desarrollo de industrias culturales y creativas.</w:t>
            </w:r>
          </w:p>
          <w:p w:rsidR="009A6C8F" w:rsidRPr="0041191B" w:rsidRDefault="009A6C8F" w:rsidP="00E039A3">
            <w:pPr>
              <w:spacing w:after="0" w:line="250" w:lineRule="atLeast"/>
              <w:jc w:val="left"/>
              <w:rPr>
                <w:rFonts w:ascii="Myriad Pro" w:hAnsi="Myriad Pro"/>
                <w:color w:val="000000"/>
                <w:sz w:val="23"/>
                <w:szCs w:val="23"/>
                <w:lang w:val="es-CO" w:eastAsia="es-CO"/>
              </w:rPr>
            </w:pPr>
          </w:p>
          <w:p w:rsidR="009A6C8F" w:rsidRPr="0041191B" w:rsidRDefault="009A6C8F" w:rsidP="00012CFB">
            <w:pPr>
              <w:spacing w:after="0" w:line="250" w:lineRule="atLeast"/>
              <w:jc w:val="left"/>
              <w:rPr>
                <w:rFonts w:ascii="Myriad Pro" w:hAnsi="Myriad Pro"/>
                <w:color w:val="000000"/>
                <w:sz w:val="23"/>
                <w:szCs w:val="23"/>
                <w:lang w:val="es-CO" w:eastAsia="es-CO"/>
              </w:rPr>
            </w:pPr>
            <w:r w:rsidRPr="0041191B">
              <w:rPr>
                <w:rFonts w:ascii="Myriad Pro" w:hAnsi="Myriad Pro"/>
                <w:b/>
                <w:bCs/>
                <w:color w:val="000000"/>
                <w:sz w:val="23"/>
                <w:szCs w:val="23"/>
                <w:lang w:val="es-CO" w:eastAsia="es-CO"/>
              </w:rPr>
              <w:t>Resultado Esperado No.</w:t>
            </w:r>
            <w:r w:rsidR="00012CFB" w:rsidRPr="0041191B">
              <w:rPr>
                <w:rFonts w:ascii="Myriad Pro" w:hAnsi="Myriad Pro"/>
                <w:b/>
                <w:bCs/>
                <w:color w:val="000000"/>
                <w:sz w:val="23"/>
                <w:szCs w:val="23"/>
                <w:lang w:val="es-CO" w:eastAsia="es-CO"/>
              </w:rPr>
              <w:t xml:space="preserve"> 6</w:t>
            </w:r>
            <w:r w:rsidRPr="0041191B">
              <w:rPr>
                <w:rFonts w:ascii="Myriad Pro" w:hAnsi="Myriad Pro"/>
                <w:b/>
                <w:bCs/>
                <w:color w:val="000000"/>
                <w:sz w:val="23"/>
                <w:szCs w:val="23"/>
                <w:lang w:val="es-CO" w:eastAsia="es-CO"/>
              </w:rPr>
              <w:t>.</w:t>
            </w:r>
            <w:r w:rsidRPr="0041191B">
              <w:rPr>
                <w:rFonts w:ascii="Myriad Pro" w:hAnsi="Myriad Pro"/>
                <w:color w:val="000000"/>
                <w:sz w:val="23"/>
                <w:szCs w:val="23"/>
                <w:lang w:val="es-CO" w:eastAsia="es-CO"/>
              </w:rPr>
              <w:t xml:space="preserve"> Fortalecimiento y utilización de las capacidades nacionales para la formulación de políticas y medidas destinadas a promover la diversidad de las expresiones culturales mediante la aplicación efectiva de la Convención de 2005</w:t>
            </w: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bCs/>
                <w:color w:val="000000"/>
                <w:sz w:val="23"/>
                <w:szCs w:val="23"/>
                <w:lang w:val="es-CO" w:eastAsia="es-CO"/>
              </w:rPr>
            </w:pPr>
            <w:r w:rsidRPr="0041191B">
              <w:rPr>
                <w:rFonts w:ascii="Myriad Pro" w:hAnsi="Myriad Pro"/>
                <w:bCs/>
                <w:color w:val="000000"/>
                <w:sz w:val="23"/>
                <w:szCs w:val="23"/>
                <w:lang w:val="es-CO" w:eastAsia="es-CO"/>
              </w:rPr>
              <w:t>Observatorio del Libro, la Lectura y las Bibliotecas</w:t>
            </w:r>
          </w:p>
        </w:tc>
      </w:tr>
      <w:tr w:rsidR="009A6C8F" w:rsidRPr="0041191B" w:rsidTr="00E039A3">
        <w:trPr>
          <w:trHeight w:val="687"/>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Observatorio de la creación y el derecho de autor</w:t>
            </w:r>
          </w:p>
        </w:tc>
      </w:tr>
      <w:tr w:rsidR="009A6C8F" w:rsidRPr="0041191B" w:rsidTr="00E039A3">
        <w:trPr>
          <w:trHeight w:val="711"/>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bCs/>
                <w:color w:val="000000"/>
                <w:sz w:val="23"/>
                <w:szCs w:val="23"/>
                <w:lang w:val="es-CO" w:eastAsia="es-CO"/>
              </w:rPr>
              <w:t>Observatorio de Cultura y Educación en la Primera Infancia</w:t>
            </w:r>
          </w:p>
        </w:tc>
      </w:tr>
      <w:tr w:rsidR="009A6C8F" w:rsidRPr="0041191B" w:rsidTr="00E039A3">
        <w:trPr>
          <w:trHeight w:val="550"/>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Fortalecimiento del registro de títulos editoriales y catálogos nacionales de la oferta editorial</w:t>
            </w:r>
          </w:p>
        </w:tc>
      </w:tr>
      <w:tr w:rsidR="009A6C8F" w:rsidRPr="0041191B" w:rsidTr="00E039A3">
        <w:trPr>
          <w:trHeight w:val="558"/>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bCs/>
                <w:color w:val="000000"/>
                <w:sz w:val="23"/>
                <w:szCs w:val="23"/>
                <w:lang w:val="es-CO" w:eastAsia="es-CO"/>
              </w:rPr>
            </w:pPr>
            <w:r w:rsidRPr="0041191B">
              <w:rPr>
                <w:rFonts w:ascii="Myriad Pro" w:hAnsi="Myriad Pro"/>
                <w:bCs/>
                <w:color w:val="000000"/>
                <w:sz w:val="23"/>
                <w:szCs w:val="23"/>
                <w:lang w:val="es-CO" w:eastAsia="es-CO"/>
              </w:rPr>
              <w:t>Asistencia técnica a los países miembros en temas misionales</w:t>
            </w:r>
          </w:p>
        </w:tc>
      </w:tr>
      <w:tr w:rsidR="009A6C8F" w:rsidRPr="0041191B" w:rsidTr="00E039A3">
        <w:trPr>
          <w:trHeight w:val="558"/>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Diagnóstico del sector editorial</w:t>
            </w:r>
          </w:p>
        </w:tc>
      </w:tr>
      <w:tr w:rsidR="009A6C8F" w:rsidRPr="0041191B" w:rsidTr="00E039A3">
        <w:trPr>
          <w:trHeight w:val="566"/>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Índice de Desarrollo Lector IDL</w:t>
            </w:r>
          </w:p>
        </w:tc>
      </w:tr>
      <w:tr w:rsidR="009A6C8F" w:rsidRPr="0041191B" w:rsidTr="00E039A3">
        <w:trPr>
          <w:trHeight w:val="688"/>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Estándares de compras públicas para dotación de dispositivos electrónicos en el sistema educativo</w:t>
            </w:r>
          </w:p>
        </w:tc>
      </w:tr>
      <w:tr w:rsidR="009A6C8F" w:rsidRPr="0041191B" w:rsidTr="00E039A3">
        <w:trPr>
          <w:trHeight w:val="837"/>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color w:val="000000"/>
                <w:sz w:val="23"/>
                <w:szCs w:val="23"/>
                <w:lang w:val="es-CO" w:eastAsia="es-CO"/>
              </w:rPr>
            </w:pPr>
            <w:r w:rsidRPr="0041191B">
              <w:rPr>
                <w:rFonts w:ascii="Myriad Pro" w:hAnsi="Myriad Pro"/>
                <w:color w:val="000000"/>
                <w:sz w:val="23"/>
                <w:szCs w:val="23"/>
                <w:lang w:val="es-CO" w:eastAsia="es-CO"/>
              </w:rPr>
              <w:t>Programa de Formación y Capacitación</w:t>
            </w:r>
          </w:p>
        </w:tc>
      </w:tr>
      <w:tr w:rsidR="009A6C8F" w:rsidRPr="0041191B" w:rsidTr="00E039A3">
        <w:trPr>
          <w:trHeight w:val="734"/>
        </w:trPr>
        <w:tc>
          <w:tcPr>
            <w:tcW w:w="5230" w:type="dxa"/>
            <w:vMerge/>
            <w:tcBorders>
              <w:top w:val="nil"/>
              <w:left w:val="single" w:sz="4" w:space="0" w:color="auto"/>
              <w:bottom w:val="single" w:sz="4" w:space="0" w:color="auto"/>
              <w:right w:val="single" w:sz="4" w:space="0" w:color="auto"/>
            </w:tcBorders>
            <w:vAlign w:val="center"/>
            <w:hideMark/>
          </w:tcPr>
          <w:p w:rsidR="009A6C8F" w:rsidRPr="0041191B" w:rsidRDefault="009A6C8F" w:rsidP="00E039A3">
            <w:pPr>
              <w:spacing w:after="0" w:line="250" w:lineRule="atLeast"/>
              <w:jc w:val="left"/>
              <w:rPr>
                <w:rFonts w:ascii="Myriad Pro" w:hAnsi="Myriad Pro"/>
                <w:color w:val="000000"/>
                <w:sz w:val="23"/>
                <w:szCs w:val="23"/>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Pr="0041191B" w:rsidRDefault="009A6C8F" w:rsidP="00E039A3">
            <w:pPr>
              <w:spacing w:after="0" w:line="250" w:lineRule="atLeast"/>
              <w:jc w:val="center"/>
              <w:rPr>
                <w:rFonts w:ascii="Myriad Pro" w:hAnsi="Myriad Pro"/>
                <w:bCs/>
                <w:color w:val="000000"/>
                <w:sz w:val="23"/>
                <w:szCs w:val="23"/>
                <w:lang w:val="es-CO" w:eastAsia="es-CO"/>
              </w:rPr>
            </w:pPr>
            <w:r w:rsidRPr="0041191B">
              <w:rPr>
                <w:rFonts w:ascii="Myriad Pro" w:hAnsi="Myriad Pro"/>
                <w:bCs/>
                <w:color w:val="000000"/>
                <w:sz w:val="23"/>
                <w:szCs w:val="23"/>
                <w:lang w:val="es-CO" w:eastAsia="es-CO"/>
              </w:rPr>
              <w:t>La medición del comportamiento lector en la región</w:t>
            </w:r>
          </w:p>
        </w:tc>
      </w:tr>
      <w:tr w:rsidR="009A6C8F" w:rsidRPr="00704383" w:rsidTr="00E039A3">
        <w:trPr>
          <w:trHeight w:val="1062"/>
        </w:trPr>
        <w:tc>
          <w:tcPr>
            <w:tcW w:w="5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6C8F" w:rsidRPr="0041191B" w:rsidRDefault="009A6C8F" w:rsidP="00E039A3">
            <w:pPr>
              <w:spacing w:after="0" w:line="250" w:lineRule="atLeast"/>
              <w:jc w:val="center"/>
              <w:rPr>
                <w:rFonts w:ascii="Myriad Pro" w:hAnsi="Myriad Pro"/>
                <w:b/>
                <w:bCs/>
                <w:color w:val="000000"/>
                <w:sz w:val="23"/>
                <w:szCs w:val="23"/>
                <w:lang w:val="es-CO" w:eastAsia="es-CO"/>
              </w:rPr>
            </w:pPr>
            <w:r w:rsidRPr="0041191B">
              <w:rPr>
                <w:rFonts w:ascii="Myriad Pro" w:hAnsi="Myriad Pro"/>
                <w:b/>
                <w:bCs/>
                <w:color w:val="000000"/>
                <w:sz w:val="23"/>
                <w:szCs w:val="23"/>
                <w:lang w:val="es-CO" w:eastAsia="es-CO"/>
              </w:rPr>
              <w:lastRenderedPageBreak/>
              <w:t>Instituto de Estadística de la UNESCO:</w:t>
            </w:r>
          </w:p>
          <w:p w:rsidR="009A6C8F" w:rsidRPr="0041191B" w:rsidRDefault="009A6C8F" w:rsidP="00E039A3">
            <w:pPr>
              <w:spacing w:after="0" w:line="250" w:lineRule="atLeast"/>
              <w:jc w:val="left"/>
              <w:rPr>
                <w:rFonts w:ascii="Myriad Pro" w:hAnsi="Myriad Pro"/>
                <w:b/>
                <w:bCs/>
                <w:color w:val="000000"/>
                <w:sz w:val="23"/>
                <w:szCs w:val="23"/>
                <w:lang w:val="es-CO" w:eastAsia="es-CO"/>
              </w:rPr>
            </w:pP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b/>
                <w:bCs/>
                <w:color w:val="000000"/>
                <w:sz w:val="23"/>
                <w:szCs w:val="23"/>
                <w:lang w:val="es-CO" w:eastAsia="es-CO"/>
              </w:rPr>
              <w:t>Eje de acción 3:</w:t>
            </w:r>
            <w:r w:rsidRPr="0041191B">
              <w:rPr>
                <w:rFonts w:ascii="Myriad Pro" w:hAnsi="Myriad Pro"/>
                <w:color w:val="000000"/>
                <w:sz w:val="23"/>
                <w:szCs w:val="23"/>
                <w:lang w:val="es-CO" w:eastAsia="es-CO"/>
              </w:rPr>
              <w:t xml:space="preserve"> Elaboración de estadísticas internacionales sobre ciencia, tecnología e innovación; cultura, comunicación e información.</w:t>
            </w:r>
          </w:p>
          <w:p w:rsidR="009A6C8F" w:rsidRPr="0041191B" w:rsidRDefault="009A6C8F" w:rsidP="00E039A3">
            <w:pPr>
              <w:spacing w:after="0" w:line="250" w:lineRule="atLeast"/>
              <w:jc w:val="left"/>
              <w:rPr>
                <w:rFonts w:ascii="Myriad Pro" w:hAnsi="Myriad Pro"/>
                <w:color w:val="000000"/>
                <w:sz w:val="23"/>
                <w:szCs w:val="23"/>
                <w:lang w:val="es-CO" w:eastAsia="es-CO"/>
              </w:rPr>
            </w:pPr>
            <w:r w:rsidRPr="0041191B">
              <w:rPr>
                <w:rFonts w:ascii="Myriad Pro" w:hAnsi="Myriad Pro"/>
                <w:b/>
                <w:bCs/>
                <w:color w:val="000000"/>
                <w:sz w:val="23"/>
                <w:szCs w:val="23"/>
                <w:lang w:val="es-CO" w:eastAsia="es-CO"/>
              </w:rPr>
              <w:t xml:space="preserve"> </w:t>
            </w:r>
            <w:r w:rsidRPr="0041191B">
              <w:rPr>
                <w:rFonts w:ascii="Myriad Pro" w:hAnsi="Myriad Pro"/>
                <w:color w:val="000000"/>
                <w:sz w:val="23"/>
                <w:szCs w:val="23"/>
                <w:lang w:val="es-CO" w:eastAsia="es-CO"/>
              </w:rPr>
              <w:br/>
            </w:r>
            <w:r w:rsidRPr="0041191B">
              <w:rPr>
                <w:rFonts w:ascii="Myriad Pro" w:hAnsi="Myriad Pro"/>
                <w:b/>
                <w:bCs/>
                <w:color w:val="000000"/>
                <w:sz w:val="23"/>
                <w:szCs w:val="23"/>
                <w:lang w:val="es-CO" w:eastAsia="es-CO"/>
              </w:rPr>
              <w:t>Resultado esperado No. 7:</w:t>
            </w:r>
            <w:r w:rsidRPr="0041191B">
              <w:rPr>
                <w:rFonts w:ascii="Myriad Pro" w:hAnsi="Myriad Pro"/>
                <w:color w:val="000000"/>
                <w:sz w:val="23"/>
                <w:szCs w:val="23"/>
                <w:lang w:val="es-CO" w:eastAsia="es-CO"/>
              </w:rPr>
              <w:t xml:space="preserve"> Oportuna puesta a disposición de los Estados Miembros de información y análisis estadísticos sobre estadísticas de cultura pertinentes para la formulación de políticas.</w:t>
            </w:r>
          </w:p>
        </w:tc>
        <w:tc>
          <w:tcPr>
            <w:tcW w:w="7124" w:type="dxa"/>
            <w:tcBorders>
              <w:top w:val="nil"/>
              <w:left w:val="single" w:sz="4" w:space="0" w:color="auto"/>
              <w:bottom w:val="single" w:sz="4" w:space="0" w:color="auto"/>
              <w:right w:val="single" w:sz="4" w:space="0" w:color="auto"/>
            </w:tcBorders>
            <w:vAlign w:val="center"/>
          </w:tcPr>
          <w:p w:rsidR="009A6C8F" w:rsidRPr="00E039A3" w:rsidRDefault="009A6C8F" w:rsidP="00E039A3">
            <w:pPr>
              <w:spacing w:after="0" w:line="250" w:lineRule="atLeast"/>
              <w:jc w:val="center"/>
              <w:rPr>
                <w:rFonts w:ascii="Myriad Pro" w:hAnsi="Myriad Pro"/>
                <w:bCs/>
                <w:color w:val="000000"/>
                <w:sz w:val="23"/>
                <w:szCs w:val="23"/>
                <w:lang w:val="es-CO" w:eastAsia="es-CO"/>
              </w:rPr>
            </w:pPr>
            <w:r w:rsidRPr="0041191B">
              <w:rPr>
                <w:rFonts w:ascii="Myriad Pro" w:hAnsi="Myriad Pro"/>
                <w:color w:val="000000"/>
                <w:sz w:val="23"/>
                <w:szCs w:val="23"/>
                <w:lang w:val="es-CO" w:eastAsia="es-CO"/>
              </w:rPr>
              <w:t>Índice de Desarrollo Lector IDL</w:t>
            </w:r>
          </w:p>
        </w:tc>
      </w:tr>
      <w:tr w:rsidR="009A6C8F" w:rsidRPr="00704383" w:rsidTr="00E039A3">
        <w:trPr>
          <w:trHeight w:val="1120"/>
        </w:trPr>
        <w:tc>
          <w:tcPr>
            <w:tcW w:w="52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6C8F" w:rsidRPr="00E039A3" w:rsidRDefault="009A6C8F" w:rsidP="00E039A3">
            <w:pPr>
              <w:spacing w:after="0" w:line="250" w:lineRule="atLeast"/>
              <w:jc w:val="left"/>
              <w:rPr>
                <w:rFonts w:ascii="Myriad Pro" w:hAnsi="Myriad Pro"/>
                <w:b/>
                <w:bCs/>
                <w:color w:val="000000"/>
                <w:sz w:val="23"/>
                <w:szCs w:val="23"/>
                <w:lang w:val="es-CO" w:eastAsia="es-CO"/>
              </w:rPr>
            </w:pPr>
          </w:p>
        </w:tc>
        <w:tc>
          <w:tcPr>
            <w:tcW w:w="7124" w:type="dxa"/>
            <w:tcBorders>
              <w:top w:val="nil"/>
              <w:left w:val="single" w:sz="4" w:space="0" w:color="auto"/>
              <w:bottom w:val="nil"/>
              <w:right w:val="single" w:sz="4" w:space="0" w:color="auto"/>
            </w:tcBorders>
            <w:vAlign w:val="center"/>
          </w:tcPr>
          <w:p w:rsidR="009A6C8F" w:rsidRPr="00E039A3" w:rsidRDefault="009A6C8F" w:rsidP="00E039A3">
            <w:pPr>
              <w:spacing w:after="0" w:line="250" w:lineRule="atLeast"/>
              <w:jc w:val="center"/>
              <w:rPr>
                <w:rFonts w:ascii="Myriad Pro" w:hAnsi="Myriad Pro"/>
                <w:color w:val="000000"/>
                <w:sz w:val="23"/>
                <w:szCs w:val="23"/>
                <w:lang w:val="es-CO" w:eastAsia="es-CO"/>
              </w:rPr>
            </w:pPr>
            <w:r w:rsidRPr="00E039A3">
              <w:rPr>
                <w:rFonts w:ascii="Myriad Pro" w:hAnsi="Myriad Pro"/>
                <w:color w:val="000000"/>
                <w:sz w:val="23"/>
                <w:szCs w:val="23"/>
                <w:lang w:val="es-CO" w:eastAsia="es-CO"/>
              </w:rPr>
              <w:t>Diagnóstico de la industria editorial regional</w:t>
            </w:r>
          </w:p>
          <w:p w:rsidR="009A6C8F" w:rsidRPr="00E039A3" w:rsidRDefault="009A6C8F" w:rsidP="00E039A3">
            <w:pPr>
              <w:spacing w:after="0" w:line="250" w:lineRule="atLeast"/>
              <w:jc w:val="center"/>
              <w:rPr>
                <w:rFonts w:ascii="Myriad Pro" w:hAnsi="Myriad Pro"/>
                <w:color w:val="000000"/>
                <w:sz w:val="23"/>
                <w:szCs w:val="23"/>
                <w:lang w:val="es-CO" w:eastAsia="es-CO"/>
              </w:rPr>
            </w:pPr>
          </w:p>
          <w:p w:rsidR="009A6C8F" w:rsidRPr="00E039A3" w:rsidRDefault="009A6C8F" w:rsidP="00E039A3">
            <w:pPr>
              <w:spacing w:after="0" w:line="250" w:lineRule="atLeast"/>
              <w:jc w:val="center"/>
              <w:rPr>
                <w:rFonts w:ascii="Myriad Pro" w:hAnsi="Myriad Pro"/>
                <w:color w:val="000000"/>
                <w:sz w:val="23"/>
                <w:szCs w:val="23"/>
                <w:lang w:val="es-CO" w:eastAsia="es-CO"/>
              </w:rPr>
            </w:pPr>
          </w:p>
          <w:p w:rsidR="009A6C8F" w:rsidRPr="00E039A3" w:rsidRDefault="009A6C8F" w:rsidP="00E039A3">
            <w:pPr>
              <w:spacing w:after="0" w:line="250" w:lineRule="atLeast"/>
              <w:jc w:val="center"/>
              <w:rPr>
                <w:rFonts w:ascii="Myriad Pro" w:hAnsi="Myriad Pro"/>
                <w:color w:val="000000"/>
                <w:sz w:val="23"/>
                <w:szCs w:val="23"/>
                <w:lang w:val="es-CO" w:eastAsia="es-CO"/>
              </w:rPr>
            </w:pPr>
            <w:r w:rsidRPr="00E039A3">
              <w:rPr>
                <w:rFonts w:ascii="Myriad Pro" w:hAnsi="Myriad Pro"/>
                <w:color w:val="000000"/>
                <w:sz w:val="23"/>
                <w:szCs w:val="23"/>
                <w:lang w:val="es-CO" w:eastAsia="es-CO"/>
              </w:rPr>
              <w:t>Metodología para estudios de caso de comportamiento lector</w:t>
            </w:r>
          </w:p>
        </w:tc>
      </w:tr>
      <w:tr w:rsidR="009A6C8F" w:rsidRPr="00704383" w:rsidTr="00E039A3">
        <w:trPr>
          <w:trHeight w:val="1405"/>
        </w:trPr>
        <w:tc>
          <w:tcPr>
            <w:tcW w:w="5230" w:type="dxa"/>
            <w:vMerge/>
            <w:tcBorders>
              <w:top w:val="single" w:sz="4" w:space="0" w:color="auto"/>
              <w:left w:val="single" w:sz="4" w:space="0" w:color="auto"/>
              <w:bottom w:val="single" w:sz="4" w:space="0" w:color="auto"/>
              <w:right w:val="single" w:sz="4" w:space="0" w:color="auto"/>
            </w:tcBorders>
            <w:vAlign w:val="center"/>
            <w:hideMark/>
          </w:tcPr>
          <w:p w:rsidR="009A6C8F" w:rsidRPr="00CA570A" w:rsidRDefault="009A6C8F" w:rsidP="00E039A3">
            <w:pPr>
              <w:spacing w:after="0" w:line="250" w:lineRule="atLeast"/>
              <w:rPr>
                <w:rFonts w:ascii="Myriad Pro" w:hAnsi="Myriad Pro"/>
                <w:color w:val="000000"/>
                <w:sz w:val="20"/>
                <w:szCs w:val="20"/>
                <w:lang w:val="es-CO" w:eastAsia="es-CO"/>
              </w:rPr>
            </w:pPr>
          </w:p>
        </w:tc>
        <w:tc>
          <w:tcPr>
            <w:tcW w:w="7124" w:type="dxa"/>
            <w:tcBorders>
              <w:top w:val="nil"/>
              <w:left w:val="single" w:sz="4" w:space="0" w:color="auto"/>
              <w:bottom w:val="single" w:sz="4" w:space="0" w:color="auto"/>
              <w:right w:val="single" w:sz="4" w:space="0" w:color="auto"/>
            </w:tcBorders>
            <w:vAlign w:val="center"/>
          </w:tcPr>
          <w:p w:rsidR="009A6C8F" w:rsidRDefault="009A6C8F" w:rsidP="00E039A3">
            <w:pPr>
              <w:spacing w:after="0" w:line="250" w:lineRule="atLeast"/>
              <w:jc w:val="center"/>
              <w:rPr>
                <w:rFonts w:ascii="Myriad Pro" w:hAnsi="Myriad Pro"/>
                <w:color w:val="000000"/>
                <w:sz w:val="20"/>
                <w:szCs w:val="20"/>
                <w:lang w:val="es-CO" w:eastAsia="es-CO"/>
              </w:rPr>
            </w:pPr>
          </w:p>
        </w:tc>
      </w:tr>
    </w:tbl>
    <w:p w:rsidR="000449D7" w:rsidRPr="009A6C8F" w:rsidRDefault="000449D7" w:rsidP="000449D7">
      <w:pPr>
        <w:rPr>
          <w:rFonts w:cs="Tahoma"/>
          <w:szCs w:val="25"/>
          <w:lang w:val="es-CO"/>
        </w:rPr>
      </w:pPr>
    </w:p>
    <w:p w:rsidR="000449D7" w:rsidRPr="00D40774" w:rsidRDefault="000449D7" w:rsidP="00E039A3">
      <w:pPr>
        <w:ind w:left="7920" w:firstLine="720"/>
        <w:jc w:val="center"/>
        <w:rPr>
          <w:rFonts w:cs="Tahoma"/>
          <w:szCs w:val="25"/>
          <w:lang w:val="es-ES"/>
        </w:rPr>
      </w:pPr>
      <w:r w:rsidRPr="00D40774">
        <w:rPr>
          <w:rFonts w:cs="Tahoma"/>
          <w:szCs w:val="25"/>
          <w:lang w:val="es-ES"/>
        </w:rPr>
        <w:t xml:space="preserve"> [Fin del documento]</w:t>
      </w:r>
    </w:p>
    <w:p w:rsidR="005535FF" w:rsidRPr="000707ED" w:rsidRDefault="005535FF">
      <w:pPr>
        <w:spacing w:after="0" w:line="240" w:lineRule="auto"/>
        <w:rPr>
          <w:rFonts w:eastAsia="Times New Roman"/>
          <w:b/>
          <w:bCs/>
          <w:kern w:val="32"/>
          <w:szCs w:val="25"/>
          <w:lang w:val="es-ES"/>
        </w:rPr>
      </w:pPr>
    </w:p>
    <w:sectPr w:rsidR="005535FF" w:rsidRPr="000707ED" w:rsidSect="00F81E54">
      <w:pgSz w:w="16839" w:h="11907" w:orient="landscape" w:code="9"/>
      <w:pgMar w:top="370" w:right="720" w:bottom="720" w:left="720" w:header="0" w:footer="0" w:gutter="0"/>
      <w:cols w:space="720"/>
      <w:noEndnote/>
      <w:docGrid w:linePitch="3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369" w:rsidRDefault="00F66369">
      <w:pPr>
        <w:spacing w:after="0"/>
      </w:pPr>
      <w:r>
        <w:separator/>
      </w:r>
    </w:p>
  </w:endnote>
  <w:endnote w:type="continuationSeparator" w:id="0">
    <w:p w:rsidR="00F66369" w:rsidRDefault="00F6636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ini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Bold">
    <w:altName w:val="Minion Pro"/>
    <w:panose1 w:val="00000000000000000000"/>
    <w:charset w:val="4D"/>
    <w:family w:val="auto"/>
    <w:notTrueType/>
    <w:pitch w:val="default"/>
    <w:sig w:usb0="00000003" w:usb1="00000000" w:usb2="00000000" w:usb3="00000000" w:csb0="00000001" w:csb1="00000000"/>
  </w:font>
  <w:font w:name="MinionPro-Semibold">
    <w:altName w:val="Minion Pro SmB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ionPro-SemiboldIt">
    <w:altName w:val="Minion Pro SmBd Ital"/>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inionPro-Medium">
    <w:altName w:val="Minion Pro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4D"/>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Pro-It">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Default="000A1445" w:rsidP="005A33DA">
    <w:pPr>
      <w:pStyle w:val="Piedepgina"/>
      <w:framePr w:wrap="around" w:vAnchor="text" w:hAnchor="margin" w:xAlign="right" w:y="1"/>
      <w:rPr>
        <w:rStyle w:val="Nmerodepgina"/>
      </w:rPr>
    </w:pPr>
    <w:r>
      <w:rPr>
        <w:rStyle w:val="Nmerodepgina"/>
      </w:rPr>
      <w:fldChar w:fldCharType="begin"/>
    </w:r>
    <w:r w:rsidR="0041191B">
      <w:rPr>
        <w:rStyle w:val="Nmerodepgina"/>
      </w:rPr>
      <w:instrText>PAGE</w:instrText>
    </w:r>
    <w:r>
      <w:rPr>
        <w:rStyle w:val="Nmerodepgina"/>
      </w:rPr>
      <w:instrText xml:space="preserve">  </w:instrText>
    </w:r>
    <w:r>
      <w:rPr>
        <w:rStyle w:val="Nmerodepgina"/>
      </w:rPr>
      <w:fldChar w:fldCharType="separate"/>
    </w:r>
    <w:r>
      <w:rPr>
        <w:rStyle w:val="Nmerodepgina"/>
        <w:noProof/>
      </w:rPr>
      <w:t>10</w:t>
    </w:r>
    <w:r>
      <w:rPr>
        <w:rStyle w:val="Nmerodepgina"/>
      </w:rPr>
      <w:fldChar w:fldCharType="end"/>
    </w:r>
  </w:p>
  <w:p w:rsidR="000A1445" w:rsidRDefault="000A1445" w:rsidP="005A33D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Pr="0082667E" w:rsidRDefault="0041191B" w:rsidP="004B4040">
    <w:pPr>
      <w:pStyle w:val="Piedepgina"/>
      <w:ind w:left="-851" w:right="-518"/>
      <w:jc w:val="center"/>
      <w:rPr>
        <w:rFonts w:ascii="Arial" w:hAnsi="Arial" w:cs="Arial"/>
        <w:sz w:val="14"/>
        <w:szCs w:val="14"/>
        <w:lang w:val="es-ES"/>
      </w:rPr>
    </w:pPr>
    <w:r>
      <w:rPr>
        <w:rFonts w:ascii="Arial" w:hAnsi="Arial" w:cs="Arial"/>
        <w:noProof/>
        <w:sz w:val="14"/>
        <w:szCs w:val="14"/>
        <w:lang w:val="es-CO" w:eastAsia="es-CO"/>
      </w:rPr>
      <w:drawing>
        <wp:inline distT="0" distB="0" distL="0" distR="0">
          <wp:extent cx="4572000" cy="819785"/>
          <wp:effectExtent l="1905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4572000" cy="819785"/>
                  </a:xfrm>
                  <a:prstGeom prst="rect">
                    <a:avLst/>
                  </a:prstGeom>
                  <a:noFill/>
                  <a:ln w="9525">
                    <a:noFill/>
                    <a:miter lim="800000"/>
                    <a:headEnd/>
                    <a:tailEnd/>
                  </a:ln>
                </pic:spPr>
              </pic:pic>
            </a:graphicData>
          </a:graphic>
        </wp:inline>
      </w:drawing>
    </w:r>
  </w:p>
  <w:p w:rsidR="000A1445" w:rsidRPr="0082667E" w:rsidRDefault="000A1445" w:rsidP="00367E0D">
    <w:pPr>
      <w:pStyle w:val="Piedepgina"/>
      <w:tabs>
        <w:tab w:val="clear" w:pos="4320"/>
        <w:tab w:val="clear" w:pos="8640"/>
        <w:tab w:val="right" w:pos="7125"/>
      </w:tabs>
      <w:ind w:right="360"/>
      <w:rPr>
        <w:lang w:val="es-ES"/>
      </w:rPr>
    </w:pPr>
    <w:r>
      <w:rPr>
        <w:noProof/>
        <w:lang w:val="es-ES" w:eastAsia="es-ES"/>
      </w:rPr>
      <w:t xml:space="preserve"> </w:t>
    </w:r>
    <w:r w:rsidRPr="0082667E">
      <w:rPr>
        <w:lang w:val="es-E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Default="000A1445" w:rsidP="00C1017C">
    <w:pPr>
      <w:pStyle w:val="Piedepgina"/>
      <w:ind w:left="-851" w:right="-518"/>
      <w:jc w:val="right"/>
      <w:rPr>
        <w:rFonts w:ascii="Arial" w:hAnsi="Arial" w:cs="Arial"/>
        <w:sz w:val="14"/>
        <w:szCs w:val="14"/>
        <w:lang w:val="es-ES"/>
      </w:rPr>
    </w:pPr>
    <w:r>
      <w:rPr>
        <w:rFonts w:ascii="Arial" w:hAnsi="Arial" w:cs="Arial"/>
        <w:sz w:val="14"/>
        <w:szCs w:val="14"/>
        <w:lang w:val="es-ES"/>
      </w:rPr>
      <w:t xml:space="preserve"> </w:t>
    </w:r>
  </w:p>
  <w:p w:rsidR="000A1445" w:rsidRPr="0082667E" w:rsidRDefault="0041191B" w:rsidP="004B4040">
    <w:pPr>
      <w:pStyle w:val="Piedepgina"/>
      <w:ind w:left="-851" w:right="-518"/>
      <w:jc w:val="center"/>
      <w:rPr>
        <w:rFonts w:ascii="Arial" w:hAnsi="Arial" w:cs="Arial"/>
        <w:sz w:val="14"/>
        <w:szCs w:val="14"/>
        <w:lang w:val="es-ES"/>
      </w:rPr>
    </w:pPr>
    <w:r>
      <w:rPr>
        <w:rFonts w:ascii="Arial" w:hAnsi="Arial" w:cs="Arial"/>
        <w:noProof/>
        <w:sz w:val="14"/>
        <w:szCs w:val="14"/>
        <w:lang w:val="es-CO" w:eastAsia="es-CO"/>
      </w:rPr>
      <w:drawing>
        <wp:inline distT="0" distB="0" distL="0" distR="0">
          <wp:extent cx="4572000" cy="819785"/>
          <wp:effectExtent l="1905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srcRect/>
                  <a:stretch>
                    <a:fillRect/>
                  </a:stretch>
                </pic:blipFill>
                <pic:spPr bwMode="auto">
                  <a:xfrm>
                    <a:off x="0" y="0"/>
                    <a:ext cx="4572000" cy="819785"/>
                  </a:xfrm>
                  <a:prstGeom prst="rect">
                    <a:avLst/>
                  </a:prstGeom>
                  <a:noFill/>
                  <a:ln w="9525">
                    <a:noFill/>
                    <a:miter lim="800000"/>
                    <a:headEnd/>
                    <a:tailEnd/>
                  </a:ln>
                </pic:spPr>
              </pic:pic>
            </a:graphicData>
          </a:graphic>
        </wp:inline>
      </w:drawing>
    </w:r>
  </w:p>
  <w:p w:rsidR="000A1445" w:rsidRPr="0082667E" w:rsidRDefault="000A1445">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369" w:rsidRDefault="00F66369">
      <w:pPr>
        <w:spacing w:after="0"/>
      </w:pPr>
      <w:r>
        <w:separator/>
      </w:r>
    </w:p>
  </w:footnote>
  <w:footnote w:type="continuationSeparator" w:id="0">
    <w:p w:rsidR="00F66369" w:rsidRDefault="00F66369">
      <w:pPr>
        <w:spacing w:after="0"/>
      </w:pPr>
      <w:r>
        <w:continuationSeparator/>
      </w:r>
    </w:p>
  </w:footnote>
  <w:footnote w:id="1">
    <w:p w:rsidR="000A1445" w:rsidRPr="00BF1173" w:rsidRDefault="000A1445" w:rsidP="003B365E">
      <w:pPr>
        <w:pStyle w:val="Textonotapie"/>
        <w:rPr>
          <w:sz w:val="18"/>
          <w:szCs w:val="18"/>
          <w:lang w:val="es-CO"/>
        </w:rPr>
      </w:pPr>
      <w:r w:rsidRPr="00BF1173">
        <w:rPr>
          <w:rStyle w:val="Refdenotaalpie"/>
          <w:sz w:val="18"/>
          <w:szCs w:val="18"/>
        </w:rPr>
        <w:footnoteRef/>
      </w:r>
      <w:r>
        <w:rPr>
          <w:sz w:val="18"/>
          <w:szCs w:val="18"/>
          <w:lang w:val="es-CO"/>
        </w:rPr>
        <w:t xml:space="preserve"> Angulo M. Noel.</w:t>
      </w:r>
      <w:r w:rsidRPr="00BF1173">
        <w:rPr>
          <w:sz w:val="18"/>
          <w:szCs w:val="18"/>
          <w:lang w:val="es-CO"/>
        </w:rPr>
        <w:t xml:space="preserve"> </w:t>
      </w:r>
      <w:r>
        <w:rPr>
          <w:sz w:val="18"/>
          <w:szCs w:val="18"/>
          <w:lang w:val="es-CO"/>
        </w:rPr>
        <w:t>“</w:t>
      </w:r>
      <w:r w:rsidRPr="00BF1173">
        <w:rPr>
          <w:sz w:val="18"/>
          <w:szCs w:val="18"/>
          <w:lang w:val="es-CO"/>
        </w:rPr>
        <w:t>¿Qué son los Observatorios y cuáles son sus funciones?</w:t>
      </w:r>
      <w:r>
        <w:rPr>
          <w:sz w:val="18"/>
          <w:szCs w:val="18"/>
          <w:lang w:val="es-CO"/>
        </w:rPr>
        <w:t>”</w:t>
      </w:r>
      <w:r w:rsidRPr="00BF1173">
        <w:rPr>
          <w:sz w:val="18"/>
          <w:szCs w:val="18"/>
          <w:lang w:val="es-CO"/>
        </w:rPr>
        <w:t xml:space="preserve"> </w:t>
      </w:r>
      <w:r w:rsidRPr="003B365E">
        <w:rPr>
          <w:i/>
          <w:sz w:val="18"/>
          <w:szCs w:val="18"/>
          <w:lang w:val="es-CO"/>
        </w:rPr>
        <w:t>Innovación educativa</w:t>
      </w:r>
      <w:r w:rsidRPr="00BF1173">
        <w:rPr>
          <w:sz w:val="18"/>
          <w:szCs w:val="18"/>
          <w:lang w:val="es-CO"/>
        </w:rPr>
        <w:t xml:space="preserve"> </w:t>
      </w:r>
      <w:r>
        <w:rPr>
          <w:sz w:val="18"/>
          <w:szCs w:val="18"/>
          <w:lang w:val="es-CO"/>
        </w:rPr>
        <w:t xml:space="preserve">Abr.-Jun. </w:t>
      </w:r>
      <w:r w:rsidRPr="00BF1173">
        <w:rPr>
          <w:sz w:val="18"/>
          <w:szCs w:val="18"/>
          <w:lang w:val="es-CO"/>
        </w:rPr>
        <w:t>2009</w:t>
      </w:r>
      <w:r>
        <w:rPr>
          <w:sz w:val="18"/>
          <w:szCs w:val="18"/>
          <w:lang w:val="es-CO"/>
        </w:rPr>
        <w:t>: 5-17</w:t>
      </w:r>
      <w:r w:rsidRPr="00BF1173">
        <w:rPr>
          <w:sz w:val="18"/>
          <w:szCs w:val="18"/>
          <w:lang w:val="es-CO"/>
        </w:rPr>
        <w:t>.</w:t>
      </w:r>
      <w:r>
        <w:rPr>
          <w:sz w:val="18"/>
          <w:szCs w:val="18"/>
          <w:lang w:val="es-CO"/>
        </w:rPr>
        <w:t xml:space="preserve"> Web.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Pr="0082667E" w:rsidRDefault="000A1445" w:rsidP="005A33DA">
    <w:pPr>
      <w:pStyle w:val="tx03TextoFondo"/>
      <w:jc w:val="right"/>
      <w:rPr>
        <w:lang w:val="es-ES"/>
      </w:rPr>
    </w:pPr>
    <w:r w:rsidRPr="0082667E">
      <w:rPr>
        <w:lang w:val="es-ES"/>
      </w:rPr>
      <w:t>Prácticas de lectura como experiencia estética y goce</w:t>
    </w:r>
  </w:p>
  <w:p w:rsidR="000A1445" w:rsidRPr="0082667E" w:rsidRDefault="000A1445">
    <w:pPr>
      <w:pStyle w:val="Encabezado"/>
      <w:rPr>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Default="000A1445" w:rsidP="00FE5EF3">
    <w:pPr>
      <w:pStyle w:val="Encabezado"/>
      <w:spacing w:after="0"/>
      <w:jc w:val="right"/>
    </w:pPr>
  </w:p>
  <w:p w:rsidR="000A1445" w:rsidRDefault="000A1445" w:rsidP="00FE5EF3">
    <w:pPr>
      <w:pStyle w:val="Encabezado"/>
      <w:spacing w:after="0"/>
      <w:jc w:val="right"/>
    </w:pPr>
    <w:r>
      <w:fldChar w:fldCharType="begin"/>
    </w:r>
    <w:r>
      <w:instrText xml:space="preserve"> </w:instrText>
    </w:r>
    <w:r w:rsidR="0041191B">
      <w:instrText>PAGE</w:instrText>
    </w:r>
    <w:r>
      <w:instrText xml:space="preserve">   \* MERGEFORMAT </w:instrText>
    </w:r>
    <w:r>
      <w:fldChar w:fldCharType="separate"/>
    </w:r>
    <w:r w:rsidR="0041191B">
      <w:rPr>
        <w:noProof/>
      </w:rPr>
      <w:t>38</w:t>
    </w:r>
    <w:r>
      <w:fldChar w:fldCharType="end"/>
    </w:r>
  </w:p>
  <w:p w:rsidR="000A1445" w:rsidRPr="00367E0D" w:rsidRDefault="000A1445" w:rsidP="005D6313">
    <w:pPr>
      <w:pStyle w:val="Encabezado"/>
      <w:ind w:left="-85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Default="0041191B" w:rsidP="00CD404E">
    <w:pPr>
      <w:pStyle w:val="Encabezado"/>
      <w:tabs>
        <w:tab w:val="clear" w:pos="4320"/>
        <w:tab w:val="clear" w:pos="8640"/>
        <w:tab w:val="left" w:pos="5400"/>
      </w:tabs>
      <w:ind w:left="-851"/>
    </w:pPr>
    <w:r>
      <w:rPr>
        <w:noProof/>
        <w:lang w:val="es-CO" w:eastAsia="es-CO"/>
      </w:rPr>
      <w:drawing>
        <wp:inline distT="0" distB="0" distL="0" distR="0">
          <wp:extent cx="2049780" cy="1355725"/>
          <wp:effectExtent l="19050" t="0" r="7620" b="0"/>
          <wp:docPr id="1" name="2 Imagen" descr="Biligu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Biligue_JPG.jpg"/>
                  <pic:cNvPicPr>
                    <a:picLocks noChangeAspect="1" noChangeArrowheads="1"/>
                  </pic:cNvPicPr>
                </pic:nvPicPr>
                <pic:blipFill>
                  <a:blip r:embed="rId1">
                    <a:lum bright="4000"/>
                  </a:blip>
                  <a:srcRect/>
                  <a:stretch>
                    <a:fillRect/>
                  </a:stretch>
                </pic:blipFill>
                <pic:spPr bwMode="auto">
                  <a:xfrm>
                    <a:off x="0" y="0"/>
                    <a:ext cx="2049780" cy="1355725"/>
                  </a:xfrm>
                  <a:prstGeom prst="rect">
                    <a:avLst/>
                  </a:prstGeom>
                  <a:noFill/>
                  <a:ln w="9525">
                    <a:noFill/>
                    <a:miter lim="800000"/>
                    <a:headEnd/>
                    <a:tailEnd/>
                  </a:ln>
                </pic:spPr>
              </pic:pic>
            </a:graphicData>
          </a:graphic>
        </wp:inline>
      </w:drawing>
    </w:r>
    <w:r w:rsidR="000A1445">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445" w:rsidRDefault="000A144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690B0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11ABB"/>
    <w:multiLevelType w:val="hybridMultilevel"/>
    <w:tmpl w:val="5B4E4676"/>
    <w:lvl w:ilvl="0" w:tplc="1DA805DE">
      <w:numFmt w:val="bullet"/>
      <w:lvlText w:val="•"/>
      <w:lvlJc w:val="left"/>
      <w:pPr>
        <w:ind w:left="720" w:hanging="360"/>
      </w:pPr>
      <w:rPr>
        <w:rFonts w:ascii="Minion Pro" w:eastAsia="Times New Roman" w:hAnsi="Minion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1B397A"/>
    <w:multiLevelType w:val="hybridMultilevel"/>
    <w:tmpl w:val="8EB2E150"/>
    <w:lvl w:ilvl="0" w:tplc="1DA805DE">
      <w:numFmt w:val="bullet"/>
      <w:lvlText w:val="•"/>
      <w:lvlJc w:val="left"/>
      <w:pPr>
        <w:ind w:left="1440" w:hanging="360"/>
      </w:pPr>
      <w:rPr>
        <w:rFonts w:ascii="Minion Pro" w:eastAsia="Times New Roman" w:hAnsi="Minion Pro"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8D05669"/>
    <w:multiLevelType w:val="hybridMultilevel"/>
    <w:tmpl w:val="75B06BB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9545C6"/>
    <w:multiLevelType w:val="hybridMultilevel"/>
    <w:tmpl w:val="22521F80"/>
    <w:lvl w:ilvl="0" w:tplc="45CE4EA2">
      <w:start w:val="1"/>
      <w:numFmt w:val="lowerLetter"/>
      <w:pStyle w:val="tn02Numerales"/>
      <w:lvlText w:val="%1."/>
      <w:lvlJc w:val="left"/>
      <w:pPr>
        <w:tabs>
          <w:tab w:val="num" w:pos="907"/>
        </w:tabs>
        <w:ind w:left="907" w:hanging="453"/>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5">
    <w:nsid w:val="09C622E5"/>
    <w:multiLevelType w:val="hybridMultilevel"/>
    <w:tmpl w:val="D9EA621C"/>
    <w:lvl w:ilvl="0" w:tplc="28A83E1C">
      <w:start w:val="1"/>
      <w:numFmt w:val="decimal"/>
      <w:lvlText w:val="%1."/>
      <w:lvlJc w:val="left"/>
      <w:pPr>
        <w:ind w:left="720" w:hanging="360"/>
      </w:pPr>
      <w:rPr>
        <w:rFonts w:hint="default"/>
        <w:b w:val="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FEE4751"/>
    <w:multiLevelType w:val="hybridMultilevel"/>
    <w:tmpl w:val="64184A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441FB9"/>
    <w:multiLevelType w:val="hybridMultilevel"/>
    <w:tmpl w:val="B13868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18A2026"/>
    <w:multiLevelType w:val="hybridMultilevel"/>
    <w:tmpl w:val="873A26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CE79FA"/>
    <w:multiLevelType w:val="hybridMultilevel"/>
    <w:tmpl w:val="13FE438E"/>
    <w:lvl w:ilvl="0" w:tplc="76A86D8C">
      <w:start w:val="1"/>
      <w:numFmt w:val="bullet"/>
      <w:pStyle w:val="tn04Numerales"/>
      <w:lvlText w:val="–"/>
      <w:lvlJc w:val="left"/>
      <w:pPr>
        <w:tabs>
          <w:tab w:val="num" w:pos="680"/>
        </w:tabs>
        <w:ind w:left="680" w:hanging="340"/>
      </w:pPr>
      <w:rPr>
        <w:rFonts w:ascii="Minion" w:hAnsi="Minio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076A4B"/>
    <w:multiLevelType w:val="hybridMultilevel"/>
    <w:tmpl w:val="3C76C514"/>
    <w:lvl w:ilvl="0" w:tplc="E902A4B4">
      <w:start w:val="1"/>
      <w:numFmt w:val="bullet"/>
      <w:pStyle w:val="tn02ANumerales"/>
      <w:lvlText w:val=""/>
      <w:lvlJc w:val="left"/>
      <w:pPr>
        <w:tabs>
          <w:tab w:val="num" w:pos="1247"/>
        </w:tabs>
        <w:ind w:left="124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63FAD"/>
    <w:multiLevelType w:val="hybridMultilevel"/>
    <w:tmpl w:val="2FBCD0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D160FED"/>
    <w:multiLevelType w:val="hybridMultilevel"/>
    <w:tmpl w:val="2F3A4D72"/>
    <w:lvl w:ilvl="0" w:tplc="16EE0182">
      <w:start w:val="1"/>
      <w:numFmt w:val="bullet"/>
      <w:pStyle w:val="tt03Tablas"/>
      <w:lvlText w:val="–"/>
      <w:lvlJc w:val="left"/>
      <w:pPr>
        <w:tabs>
          <w:tab w:val="num" w:pos="340"/>
        </w:tabs>
        <w:ind w:left="340" w:hanging="170"/>
      </w:pPr>
      <w:rPr>
        <w:rFonts w:ascii="Minion" w:hAnsi="Minio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D0C88"/>
    <w:multiLevelType w:val="hybridMultilevel"/>
    <w:tmpl w:val="F560198C"/>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1ECA62C2"/>
    <w:multiLevelType w:val="hybridMultilevel"/>
    <w:tmpl w:val="15C22450"/>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EB636C"/>
    <w:multiLevelType w:val="hybridMultilevel"/>
    <w:tmpl w:val="E01C5168"/>
    <w:lvl w:ilvl="0" w:tplc="240A0001">
      <w:start w:val="1"/>
      <w:numFmt w:val="bullet"/>
      <w:lvlText w:val=""/>
      <w:lvlJc w:val="left"/>
      <w:pPr>
        <w:ind w:left="720" w:hanging="360"/>
      </w:pPr>
      <w:rPr>
        <w:rFonts w:ascii="Symbol" w:hAnsi="Symbol" w:hint="default"/>
      </w:rPr>
    </w:lvl>
    <w:lvl w:ilvl="1" w:tplc="1DA805DE">
      <w:numFmt w:val="bullet"/>
      <w:lvlText w:val="•"/>
      <w:lvlJc w:val="left"/>
      <w:pPr>
        <w:ind w:left="1440" w:hanging="360"/>
      </w:pPr>
      <w:rPr>
        <w:rFonts w:ascii="Minion Pro" w:eastAsia="Times New Roman" w:hAnsi="Minion Pro" w:cs="Times New Roman"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3191CBD"/>
    <w:multiLevelType w:val="hybridMultilevel"/>
    <w:tmpl w:val="22F0A132"/>
    <w:lvl w:ilvl="0" w:tplc="A24E1D30">
      <w:start w:val="1"/>
      <w:numFmt w:val="lowerLetter"/>
      <w:lvlText w:val="%1."/>
      <w:lvlJc w:val="left"/>
      <w:pPr>
        <w:ind w:left="1068"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231F0495"/>
    <w:multiLevelType w:val="hybridMultilevel"/>
    <w:tmpl w:val="8890749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34E315B"/>
    <w:multiLevelType w:val="hybridMultilevel"/>
    <w:tmpl w:val="548E4258"/>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8659A2"/>
    <w:multiLevelType w:val="hybridMultilevel"/>
    <w:tmpl w:val="DD7C796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953E79"/>
    <w:multiLevelType w:val="hybridMultilevel"/>
    <w:tmpl w:val="B9326480"/>
    <w:lvl w:ilvl="0" w:tplc="1DA805DE">
      <w:numFmt w:val="bullet"/>
      <w:lvlText w:val="•"/>
      <w:lvlJc w:val="left"/>
      <w:pPr>
        <w:ind w:left="720" w:hanging="360"/>
      </w:pPr>
      <w:rPr>
        <w:rFonts w:ascii="Minion Pro" w:eastAsia="Times New Roman" w:hAnsi="Minion Pr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DBE7CDF"/>
    <w:multiLevelType w:val="hybridMultilevel"/>
    <w:tmpl w:val="847AC0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8932C86"/>
    <w:multiLevelType w:val="hybridMultilevel"/>
    <w:tmpl w:val="2040BEEE"/>
    <w:lvl w:ilvl="0" w:tplc="53ECFFC8">
      <w:start w:val="1"/>
      <w:numFmt w:val="bullet"/>
      <w:pStyle w:val="tn01BNumerales"/>
      <w:lvlText w:val="–"/>
      <w:lvlJc w:val="left"/>
      <w:pPr>
        <w:tabs>
          <w:tab w:val="num" w:pos="1134"/>
        </w:tabs>
        <w:ind w:left="1134" w:hanging="340"/>
      </w:pPr>
      <w:rPr>
        <w:rFonts w:ascii="Minion" w:hAnsi="Minio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D4461F"/>
    <w:multiLevelType w:val="hybridMultilevel"/>
    <w:tmpl w:val="ACCA50B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42823D0A"/>
    <w:multiLevelType w:val="hybridMultilevel"/>
    <w:tmpl w:val="2068A144"/>
    <w:lvl w:ilvl="0" w:tplc="5C966CB0">
      <w:start w:val="1"/>
      <w:numFmt w:val="decimal"/>
      <w:pStyle w:val="tt04Tablas"/>
      <w:lvlText w:val="%1."/>
      <w:lvlJc w:val="left"/>
      <w:pPr>
        <w:tabs>
          <w:tab w:val="num" w:pos="227"/>
        </w:tabs>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C67C24"/>
    <w:multiLevelType w:val="hybridMultilevel"/>
    <w:tmpl w:val="8CF65E9E"/>
    <w:lvl w:ilvl="0" w:tplc="1DA805DE">
      <w:numFmt w:val="bullet"/>
      <w:lvlText w:val="•"/>
      <w:lvlJc w:val="left"/>
      <w:pPr>
        <w:ind w:left="720" w:hanging="360"/>
      </w:pPr>
      <w:rPr>
        <w:rFonts w:ascii="Minion Pro" w:eastAsia="Times New Roman" w:hAnsi="Minion Pro"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6A55E87"/>
    <w:multiLevelType w:val="hybridMultilevel"/>
    <w:tmpl w:val="407E70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4B6B19EC"/>
    <w:multiLevelType w:val="hybridMultilevel"/>
    <w:tmpl w:val="F29CE3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7F6E35"/>
    <w:multiLevelType w:val="hybridMultilevel"/>
    <w:tmpl w:val="5980D818"/>
    <w:lvl w:ilvl="0" w:tplc="CA7C75FA">
      <w:start w:val="1"/>
      <w:numFmt w:val="bullet"/>
      <w:pStyle w:val="tt02Tablas"/>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B633A0"/>
    <w:multiLevelType w:val="hybridMultilevel"/>
    <w:tmpl w:val="CD58289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4396954"/>
    <w:multiLevelType w:val="hybridMultilevel"/>
    <w:tmpl w:val="FA961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31">
    <w:nsid w:val="5CDA6E62"/>
    <w:multiLevelType w:val="hybridMultilevel"/>
    <w:tmpl w:val="37FABC66"/>
    <w:lvl w:ilvl="0" w:tplc="FD88FD84">
      <w:start w:val="899"/>
      <w:numFmt w:val="decimal"/>
      <w:pStyle w:val="tt06Tablas"/>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596D77"/>
    <w:multiLevelType w:val="hybridMultilevel"/>
    <w:tmpl w:val="5A0279CA"/>
    <w:lvl w:ilvl="0" w:tplc="D076C29C">
      <w:start w:val="1"/>
      <w:numFmt w:val="lowerLetter"/>
      <w:pStyle w:val="tn02BNumerales"/>
      <w:lvlText w:val="%1."/>
      <w:lvlJc w:val="left"/>
      <w:pPr>
        <w:tabs>
          <w:tab w:val="num" w:pos="795"/>
        </w:tabs>
        <w:ind w:left="795" w:hanging="341"/>
      </w:p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33">
    <w:nsid w:val="691777AA"/>
    <w:multiLevelType w:val="hybridMultilevel"/>
    <w:tmpl w:val="3536D8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nsid w:val="695F3806"/>
    <w:multiLevelType w:val="hybridMultilevel"/>
    <w:tmpl w:val="32DEFD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B975C4B"/>
    <w:multiLevelType w:val="hybridMultilevel"/>
    <w:tmpl w:val="F8DA8B38"/>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6D2B6A25"/>
    <w:multiLevelType w:val="hybridMultilevel"/>
    <w:tmpl w:val="C116EB5A"/>
    <w:lvl w:ilvl="0" w:tplc="1DA805DE">
      <w:numFmt w:val="bullet"/>
      <w:lvlText w:val="•"/>
      <w:lvlJc w:val="left"/>
      <w:pPr>
        <w:ind w:left="720" w:hanging="360"/>
      </w:pPr>
      <w:rPr>
        <w:rFonts w:ascii="Minion Pro" w:eastAsia="Times New Roman" w:hAnsi="Minion Pro"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5D507F"/>
    <w:multiLevelType w:val="hybridMultilevel"/>
    <w:tmpl w:val="DDF8089A"/>
    <w:lvl w:ilvl="0" w:tplc="2B6A0CB4">
      <w:start w:val="1"/>
      <w:numFmt w:val="decimal"/>
      <w:pStyle w:val="tn01Numerales"/>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87514F"/>
    <w:multiLevelType w:val="hybridMultilevel"/>
    <w:tmpl w:val="BC92C7CC"/>
    <w:lvl w:ilvl="0" w:tplc="BDA297DE">
      <w:start w:val="89"/>
      <w:numFmt w:val="decimal"/>
      <w:pStyle w:val="tt05Tablas"/>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3F148F"/>
    <w:multiLevelType w:val="hybridMultilevel"/>
    <w:tmpl w:val="BCC0C8E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nsid w:val="78175719"/>
    <w:multiLevelType w:val="hybridMultilevel"/>
    <w:tmpl w:val="B832DD96"/>
    <w:lvl w:ilvl="0" w:tplc="99E69446">
      <w:start w:val="1"/>
      <w:numFmt w:val="decimal"/>
      <w:lvlText w:val="%1."/>
      <w:lvlJc w:val="left"/>
      <w:pPr>
        <w:ind w:left="720" w:hanging="360"/>
      </w:pPr>
      <w:rPr>
        <w:rFonts w:hint="default"/>
        <w:b/>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B4D0015"/>
    <w:multiLevelType w:val="hybridMultilevel"/>
    <w:tmpl w:val="B308D90C"/>
    <w:lvl w:ilvl="0" w:tplc="BE2066B8">
      <w:start w:val="1"/>
      <w:numFmt w:val="bullet"/>
      <w:pStyle w:val="tn03Numerales"/>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D22D42"/>
    <w:multiLevelType w:val="hybridMultilevel"/>
    <w:tmpl w:val="02584FD6"/>
    <w:lvl w:ilvl="0" w:tplc="C54ED46E">
      <w:start w:val="1"/>
      <w:numFmt w:val="bullet"/>
      <w:pStyle w:val="tn01ANumerales"/>
      <w:lvlText w:val=""/>
      <w:lvlJc w:val="left"/>
      <w:pPr>
        <w:tabs>
          <w:tab w:val="num" w:pos="794"/>
        </w:tabs>
        <w:ind w:left="794"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9"/>
  </w:num>
  <w:num w:numId="4">
    <w:abstractNumId w:val="41"/>
  </w:num>
  <w:num w:numId="5">
    <w:abstractNumId w:val="37"/>
  </w:num>
  <w:num w:numId="6">
    <w:abstractNumId w:val="42"/>
  </w:num>
  <w:num w:numId="7">
    <w:abstractNumId w:val="4"/>
  </w:num>
  <w:num w:numId="8">
    <w:abstractNumId w:val="10"/>
  </w:num>
  <w:num w:numId="9">
    <w:abstractNumId w:val="12"/>
  </w:num>
  <w:num w:numId="10">
    <w:abstractNumId w:val="28"/>
  </w:num>
  <w:num w:numId="11">
    <w:abstractNumId w:val="24"/>
  </w:num>
  <w:num w:numId="12">
    <w:abstractNumId w:val="38"/>
  </w:num>
  <w:num w:numId="13">
    <w:abstractNumId w:val="31"/>
  </w:num>
  <w:num w:numId="14">
    <w:abstractNumId w:val="8"/>
  </w:num>
  <w:num w:numId="15">
    <w:abstractNumId w:val="17"/>
  </w:num>
  <w:num w:numId="16">
    <w:abstractNumId w:val="11"/>
  </w:num>
  <w:num w:numId="17">
    <w:abstractNumId w:val="21"/>
  </w:num>
  <w:num w:numId="18">
    <w:abstractNumId w:val="3"/>
  </w:num>
  <w:num w:numId="19">
    <w:abstractNumId w:val="19"/>
  </w:num>
  <w:num w:numId="20">
    <w:abstractNumId w:val="35"/>
  </w:num>
  <w:num w:numId="21">
    <w:abstractNumId w:val="13"/>
  </w:num>
  <w:num w:numId="22">
    <w:abstractNumId w:val="14"/>
  </w:num>
  <w:num w:numId="23">
    <w:abstractNumId w:val="18"/>
  </w:num>
  <w:num w:numId="24">
    <w:abstractNumId w:val="40"/>
  </w:num>
  <w:num w:numId="25">
    <w:abstractNumId w:val="27"/>
  </w:num>
  <w:num w:numId="26">
    <w:abstractNumId w:val="7"/>
  </w:num>
  <w:num w:numId="27">
    <w:abstractNumId w:val="6"/>
  </w:num>
  <w:num w:numId="28">
    <w:abstractNumId w:val="39"/>
  </w:num>
  <w:num w:numId="29">
    <w:abstractNumId w:val="33"/>
  </w:num>
  <w:num w:numId="30">
    <w:abstractNumId w:val="23"/>
  </w:num>
  <w:num w:numId="31">
    <w:abstractNumId w:val="36"/>
  </w:num>
  <w:num w:numId="32">
    <w:abstractNumId w:val="25"/>
  </w:num>
  <w:num w:numId="33">
    <w:abstractNumId w:val="20"/>
  </w:num>
  <w:num w:numId="34">
    <w:abstractNumId w:val="15"/>
  </w:num>
  <w:num w:numId="35">
    <w:abstractNumId w:val="2"/>
  </w:num>
  <w:num w:numId="36">
    <w:abstractNumId w:val="30"/>
  </w:num>
  <w:num w:numId="37">
    <w:abstractNumId w:val="5"/>
  </w:num>
  <w:num w:numId="38">
    <w:abstractNumId w:val="34"/>
  </w:num>
  <w:num w:numId="39">
    <w:abstractNumId w:val="29"/>
  </w:num>
  <w:num w:numId="40">
    <w:abstractNumId w:val="26"/>
  </w:num>
  <w:num w:numId="41">
    <w:abstractNumId w:val="16"/>
  </w:num>
  <w:num w:numId="42">
    <w:abstractNumId w:val="1"/>
  </w:num>
  <w:num w:numId="43">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proofState w:grammar="clean"/>
  <w:attachedTemplate r:id="rId1"/>
  <w:stylePaneFormatFilter w:val="3F01"/>
  <w:stylePaneSortMethod w:val="0000"/>
  <w:defaultTabStop w:val="720"/>
  <w:hyphenationZone w:val="425"/>
  <w:drawingGridHorizontalSpacing w:val="125"/>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rsids>
    <w:rsidRoot w:val="000D3CE6"/>
    <w:rsid w:val="00001253"/>
    <w:rsid w:val="00012CFB"/>
    <w:rsid w:val="000267E5"/>
    <w:rsid w:val="00033582"/>
    <w:rsid w:val="00033991"/>
    <w:rsid w:val="00041107"/>
    <w:rsid w:val="000449D7"/>
    <w:rsid w:val="00044E1B"/>
    <w:rsid w:val="000707ED"/>
    <w:rsid w:val="000905B2"/>
    <w:rsid w:val="0009580E"/>
    <w:rsid w:val="000A1445"/>
    <w:rsid w:val="000B2922"/>
    <w:rsid w:val="000D3CE6"/>
    <w:rsid w:val="000F0BAA"/>
    <w:rsid w:val="000F52C5"/>
    <w:rsid w:val="00110411"/>
    <w:rsid w:val="001346B2"/>
    <w:rsid w:val="00152AB3"/>
    <w:rsid w:val="0015443C"/>
    <w:rsid w:val="001732CD"/>
    <w:rsid w:val="001946D5"/>
    <w:rsid w:val="001B3548"/>
    <w:rsid w:val="001C3F99"/>
    <w:rsid w:val="001C6E75"/>
    <w:rsid w:val="002110B6"/>
    <w:rsid w:val="002308B4"/>
    <w:rsid w:val="00251868"/>
    <w:rsid w:val="00261DE5"/>
    <w:rsid w:val="00281041"/>
    <w:rsid w:val="00281230"/>
    <w:rsid w:val="002A3867"/>
    <w:rsid w:val="002A75DB"/>
    <w:rsid w:val="002B0DBE"/>
    <w:rsid w:val="002C1704"/>
    <w:rsid w:val="002E4B52"/>
    <w:rsid w:val="002F04A8"/>
    <w:rsid w:val="002F1D3D"/>
    <w:rsid w:val="00310B0C"/>
    <w:rsid w:val="0033244C"/>
    <w:rsid w:val="0033691F"/>
    <w:rsid w:val="00341259"/>
    <w:rsid w:val="00342279"/>
    <w:rsid w:val="003501B5"/>
    <w:rsid w:val="00355C9E"/>
    <w:rsid w:val="00356B1A"/>
    <w:rsid w:val="00357677"/>
    <w:rsid w:val="00363F32"/>
    <w:rsid w:val="00367E0D"/>
    <w:rsid w:val="003767ED"/>
    <w:rsid w:val="003A0FF1"/>
    <w:rsid w:val="003B13FB"/>
    <w:rsid w:val="003B365E"/>
    <w:rsid w:val="003D5A61"/>
    <w:rsid w:val="003D606A"/>
    <w:rsid w:val="003E47F2"/>
    <w:rsid w:val="003E4DB1"/>
    <w:rsid w:val="003F6217"/>
    <w:rsid w:val="004004EB"/>
    <w:rsid w:val="00406423"/>
    <w:rsid w:val="0041191B"/>
    <w:rsid w:val="00425F52"/>
    <w:rsid w:val="00431508"/>
    <w:rsid w:val="00431E6E"/>
    <w:rsid w:val="00451006"/>
    <w:rsid w:val="00470742"/>
    <w:rsid w:val="00471A54"/>
    <w:rsid w:val="004807FF"/>
    <w:rsid w:val="00482BD3"/>
    <w:rsid w:val="00485152"/>
    <w:rsid w:val="004A1439"/>
    <w:rsid w:val="004A15A1"/>
    <w:rsid w:val="004A2162"/>
    <w:rsid w:val="004B10B8"/>
    <w:rsid w:val="004B4040"/>
    <w:rsid w:val="004C6860"/>
    <w:rsid w:val="004F0D4F"/>
    <w:rsid w:val="004F45A7"/>
    <w:rsid w:val="00502493"/>
    <w:rsid w:val="00544FF1"/>
    <w:rsid w:val="005535FF"/>
    <w:rsid w:val="0057069D"/>
    <w:rsid w:val="0057701A"/>
    <w:rsid w:val="005775F4"/>
    <w:rsid w:val="005804E7"/>
    <w:rsid w:val="00582DEB"/>
    <w:rsid w:val="005A33DA"/>
    <w:rsid w:val="005B3E1C"/>
    <w:rsid w:val="005B7927"/>
    <w:rsid w:val="005C4E7B"/>
    <w:rsid w:val="005D6313"/>
    <w:rsid w:val="005E1E55"/>
    <w:rsid w:val="005F28EA"/>
    <w:rsid w:val="005F4777"/>
    <w:rsid w:val="00601340"/>
    <w:rsid w:val="00607EEB"/>
    <w:rsid w:val="00644573"/>
    <w:rsid w:val="00646C3E"/>
    <w:rsid w:val="00647BD1"/>
    <w:rsid w:val="00673714"/>
    <w:rsid w:val="00687A40"/>
    <w:rsid w:val="006947D0"/>
    <w:rsid w:val="0069746F"/>
    <w:rsid w:val="006A154F"/>
    <w:rsid w:val="006C1701"/>
    <w:rsid w:val="006C665D"/>
    <w:rsid w:val="006D1ACF"/>
    <w:rsid w:val="006F4AF6"/>
    <w:rsid w:val="00703B37"/>
    <w:rsid w:val="00704383"/>
    <w:rsid w:val="00712D3C"/>
    <w:rsid w:val="00713412"/>
    <w:rsid w:val="00720CFB"/>
    <w:rsid w:val="00750EC6"/>
    <w:rsid w:val="0077729D"/>
    <w:rsid w:val="007822B5"/>
    <w:rsid w:val="00794B11"/>
    <w:rsid w:val="00804D86"/>
    <w:rsid w:val="00812D4E"/>
    <w:rsid w:val="0082667E"/>
    <w:rsid w:val="0083500F"/>
    <w:rsid w:val="00845089"/>
    <w:rsid w:val="00854386"/>
    <w:rsid w:val="00860A04"/>
    <w:rsid w:val="00893FEA"/>
    <w:rsid w:val="008B6C97"/>
    <w:rsid w:val="008C63B6"/>
    <w:rsid w:val="008D42A0"/>
    <w:rsid w:val="008D6299"/>
    <w:rsid w:val="008D73D3"/>
    <w:rsid w:val="008E741B"/>
    <w:rsid w:val="0090712F"/>
    <w:rsid w:val="00926826"/>
    <w:rsid w:val="00936FC6"/>
    <w:rsid w:val="00940856"/>
    <w:rsid w:val="00966841"/>
    <w:rsid w:val="00981A65"/>
    <w:rsid w:val="00984489"/>
    <w:rsid w:val="009A6C8F"/>
    <w:rsid w:val="009A6D6C"/>
    <w:rsid w:val="009B3EEC"/>
    <w:rsid w:val="009E3D8E"/>
    <w:rsid w:val="009F1B05"/>
    <w:rsid w:val="009F255B"/>
    <w:rsid w:val="009F3E47"/>
    <w:rsid w:val="009F6EB9"/>
    <w:rsid w:val="00A10A5B"/>
    <w:rsid w:val="00A10FE5"/>
    <w:rsid w:val="00A126BA"/>
    <w:rsid w:val="00A24B3F"/>
    <w:rsid w:val="00A27574"/>
    <w:rsid w:val="00A36EEF"/>
    <w:rsid w:val="00A50A2F"/>
    <w:rsid w:val="00A61E39"/>
    <w:rsid w:val="00A76AB3"/>
    <w:rsid w:val="00A77816"/>
    <w:rsid w:val="00A911BA"/>
    <w:rsid w:val="00A976DD"/>
    <w:rsid w:val="00AA1CAF"/>
    <w:rsid w:val="00AA1EF5"/>
    <w:rsid w:val="00AB0FA5"/>
    <w:rsid w:val="00AC195C"/>
    <w:rsid w:val="00AD6BEE"/>
    <w:rsid w:val="00AF2CE4"/>
    <w:rsid w:val="00AF438D"/>
    <w:rsid w:val="00B01A4A"/>
    <w:rsid w:val="00B12087"/>
    <w:rsid w:val="00B42A0F"/>
    <w:rsid w:val="00B7330C"/>
    <w:rsid w:val="00B803F0"/>
    <w:rsid w:val="00B81B74"/>
    <w:rsid w:val="00B95012"/>
    <w:rsid w:val="00BA2785"/>
    <w:rsid w:val="00BA2A3A"/>
    <w:rsid w:val="00BD2BEB"/>
    <w:rsid w:val="00BD7BD9"/>
    <w:rsid w:val="00BE3586"/>
    <w:rsid w:val="00C1017C"/>
    <w:rsid w:val="00C1598A"/>
    <w:rsid w:val="00C317AF"/>
    <w:rsid w:val="00C5478D"/>
    <w:rsid w:val="00C55FA8"/>
    <w:rsid w:val="00C90941"/>
    <w:rsid w:val="00CA1C87"/>
    <w:rsid w:val="00CA4E82"/>
    <w:rsid w:val="00CA5923"/>
    <w:rsid w:val="00CB30B8"/>
    <w:rsid w:val="00CC11A9"/>
    <w:rsid w:val="00CC391F"/>
    <w:rsid w:val="00CD2478"/>
    <w:rsid w:val="00CD404E"/>
    <w:rsid w:val="00CE3D29"/>
    <w:rsid w:val="00CE7EF2"/>
    <w:rsid w:val="00CF324C"/>
    <w:rsid w:val="00CF536E"/>
    <w:rsid w:val="00CF6291"/>
    <w:rsid w:val="00D01C19"/>
    <w:rsid w:val="00D11866"/>
    <w:rsid w:val="00D14C94"/>
    <w:rsid w:val="00D74F01"/>
    <w:rsid w:val="00D82E0A"/>
    <w:rsid w:val="00DA04D0"/>
    <w:rsid w:val="00DA4F76"/>
    <w:rsid w:val="00DB4D0E"/>
    <w:rsid w:val="00DB5ABA"/>
    <w:rsid w:val="00DC0827"/>
    <w:rsid w:val="00DE2F62"/>
    <w:rsid w:val="00E02AEE"/>
    <w:rsid w:val="00E039A3"/>
    <w:rsid w:val="00E24C6D"/>
    <w:rsid w:val="00E3477F"/>
    <w:rsid w:val="00E56237"/>
    <w:rsid w:val="00E70533"/>
    <w:rsid w:val="00E84CE3"/>
    <w:rsid w:val="00E8663A"/>
    <w:rsid w:val="00E90135"/>
    <w:rsid w:val="00E964E3"/>
    <w:rsid w:val="00EB3A2B"/>
    <w:rsid w:val="00EC728D"/>
    <w:rsid w:val="00EE0A12"/>
    <w:rsid w:val="00F23B08"/>
    <w:rsid w:val="00F264E1"/>
    <w:rsid w:val="00F270C6"/>
    <w:rsid w:val="00F54B56"/>
    <w:rsid w:val="00F60DF6"/>
    <w:rsid w:val="00F62F3D"/>
    <w:rsid w:val="00F64AB8"/>
    <w:rsid w:val="00F66369"/>
    <w:rsid w:val="00F7144B"/>
    <w:rsid w:val="00F81E54"/>
    <w:rsid w:val="00F967EE"/>
    <w:rsid w:val="00F968C8"/>
    <w:rsid w:val="00FE5EF3"/>
  </w:rsids>
  <m:mathPr>
    <m:mathFont m:val="Cambria Math"/>
    <m:brkBin m:val="before"/>
    <m:brkBinSub m:val="--"/>
    <m:smallFrac m:val="off"/>
    <m:dispDef m:val="off"/>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12D4E"/>
    <w:pPr>
      <w:spacing w:after="330" w:line="330" w:lineRule="atLeast"/>
      <w:jc w:val="both"/>
    </w:pPr>
    <w:rPr>
      <w:rFonts w:ascii="Minion Pro" w:hAnsi="Minion Pro"/>
      <w:sz w:val="25"/>
      <w:szCs w:val="24"/>
      <w:lang w:val="en-US" w:eastAsia="en-US"/>
    </w:rPr>
  </w:style>
  <w:style w:type="paragraph" w:styleId="Ttulo1">
    <w:name w:val="heading 1"/>
    <w:basedOn w:val="Normal"/>
    <w:next w:val="Normal"/>
    <w:link w:val="Ttulo1Car"/>
    <w:qFormat/>
    <w:rsid w:val="005804E7"/>
    <w:pPr>
      <w:keepNext/>
      <w:pageBreakBefore/>
      <w:spacing w:line="240" w:lineRule="atLeast"/>
      <w:jc w:val="center"/>
      <w:outlineLvl w:val="0"/>
    </w:pPr>
    <w:rPr>
      <w:rFonts w:eastAsia="Times New Roman"/>
      <w:b/>
      <w:bCs/>
      <w:kern w:val="32"/>
      <w:sz w:val="32"/>
      <w:szCs w:val="32"/>
      <w:lang w:val="es-ES"/>
    </w:rPr>
  </w:style>
  <w:style w:type="paragraph" w:styleId="Ttulo2">
    <w:name w:val="heading 2"/>
    <w:basedOn w:val="Normal"/>
    <w:next w:val="Normal"/>
    <w:link w:val="Ttulo2Car"/>
    <w:qFormat/>
    <w:rsid w:val="00F64AB8"/>
    <w:pPr>
      <w:keepNext/>
      <w:spacing w:line="240" w:lineRule="atLeast"/>
      <w:outlineLvl w:val="1"/>
    </w:pPr>
    <w:rPr>
      <w:rFonts w:eastAsia="Times New Roman"/>
      <w:b/>
      <w:bCs/>
      <w:iCs/>
      <w:sz w:val="28"/>
      <w:szCs w:val="28"/>
      <w:lang w:val="es-ES"/>
    </w:rPr>
  </w:style>
  <w:style w:type="paragraph" w:styleId="Ttulo3">
    <w:name w:val="heading 3"/>
    <w:basedOn w:val="Normal"/>
    <w:next w:val="Normal"/>
    <w:link w:val="Ttulo3Car"/>
    <w:qFormat/>
    <w:rsid w:val="00E70533"/>
    <w:pPr>
      <w:keepNext/>
      <w:outlineLvl w:val="2"/>
    </w:pPr>
    <w:rPr>
      <w:rFonts w:eastAsia="Times New Roman"/>
      <w:b/>
      <w:bCs/>
      <w:i/>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804E7"/>
    <w:rPr>
      <w:rFonts w:ascii="Minion Pro" w:eastAsia="Times New Roman" w:hAnsi="Minion Pro"/>
      <w:b/>
      <w:bCs/>
      <w:kern w:val="32"/>
      <w:sz w:val="32"/>
      <w:szCs w:val="32"/>
      <w:lang w:eastAsia="en-US"/>
    </w:rPr>
  </w:style>
  <w:style w:type="character" w:customStyle="1" w:styleId="Ttulo2Car">
    <w:name w:val="Título 2 Car"/>
    <w:link w:val="Ttulo2"/>
    <w:rsid w:val="00F64AB8"/>
    <w:rPr>
      <w:rFonts w:ascii="Minion Pro" w:eastAsia="Times New Roman" w:hAnsi="Minion Pro"/>
      <w:b/>
      <w:bCs/>
      <w:iCs/>
      <w:sz w:val="28"/>
      <w:szCs w:val="28"/>
      <w:lang w:eastAsia="en-US"/>
    </w:rPr>
  </w:style>
  <w:style w:type="character" w:customStyle="1" w:styleId="Ttulo3Car">
    <w:name w:val="Título 3 Car"/>
    <w:link w:val="Ttulo3"/>
    <w:rsid w:val="00E70533"/>
    <w:rPr>
      <w:rFonts w:ascii="Minion Pro" w:eastAsia="Times New Roman" w:hAnsi="Minion Pro"/>
      <w:b/>
      <w:bCs/>
      <w:i/>
      <w:sz w:val="25"/>
      <w:szCs w:val="26"/>
      <w:lang w:val="en-US" w:eastAsia="en-US"/>
    </w:rPr>
  </w:style>
  <w:style w:type="paragraph" w:customStyle="1" w:styleId="TL0Preliminares">
    <w:name w:val="TL_0 (Preliminares)"/>
    <w:basedOn w:val="Normal"/>
    <w:uiPriority w:val="99"/>
    <w:rsid w:val="007966FC"/>
    <w:pPr>
      <w:widowControl w:val="0"/>
      <w:suppressAutoHyphens/>
      <w:autoSpaceDE w:val="0"/>
      <w:autoSpaceDN w:val="0"/>
      <w:adjustRightInd w:val="0"/>
      <w:spacing w:after="0" w:line="560" w:lineRule="exact"/>
      <w:contextualSpacing/>
      <w:jc w:val="center"/>
      <w:textAlignment w:val="center"/>
    </w:pPr>
    <w:rPr>
      <w:rFonts w:ascii="MinionPro-Bold" w:hAnsi="MinionPro-Bold" w:cs="MinionPro-Bold"/>
      <w:b/>
      <w:bCs/>
      <w:color w:val="000000"/>
      <w:sz w:val="50"/>
      <w:szCs w:val="50"/>
      <w:lang w:val="es-ES_tradnl"/>
    </w:rPr>
  </w:style>
  <w:style w:type="paragraph" w:customStyle="1" w:styleId="Tparte">
    <w:name w:val="T_parte"/>
    <w:aliases w:val="capitulo,seccion (Texto_Fondo)"/>
    <w:basedOn w:val="Normal"/>
    <w:uiPriority w:val="99"/>
    <w:rsid w:val="005009BB"/>
    <w:pPr>
      <w:widowControl w:val="0"/>
      <w:suppressAutoHyphens/>
      <w:autoSpaceDE w:val="0"/>
      <w:autoSpaceDN w:val="0"/>
      <w:adjustRightInd w:val="0"/>
      <w:spacing w:after="0"/>
      <w:jc w:val="center"/>
      <w:textAlignment w:val="center"/>
    </w:pPr>
    <w:rPr>
      <w:rFonts w:ascii="MinionPro-Semibold" w:hAnsi="MinionPro-Semibold" w:cs="MinionPro-Semibold"/>
      <w:caps/>
      <w:color w:val="000000"/>
      <w:sz w:val="26"/>
      <w:szCs w:val="26"/>
      <w:lang w:val="es-ES_tradnl"/>
    </w:rPr>
  </w:style>
  <w:style w:type="paragraph" w:customStyle="1" w:styleId="T1TextoFondo">
    <w:name w:val="T_1 (Texto_Fondo)"/>
    <w:basedOn w:val="Normal"/>
    <w:next w:val="tx00TextoFondo"/>
    <w:autoRedefine/>
    <w:uiPriority w:val="99"/>
    <w:rsid w:val="004602F6"/>
    <w:pPr>
      <w:widowControl w:val="0"/>
      <w:suppressAutoHyphens/>
      <w:autoSpaceDE w:val="0"/>
      <w:autoSpaceDN w:val="0"/>
      <w:adjustRightInd w:val="0"/>
      <w:spacing w:before="3572" w:after="660" w:line="420" w:lineRule="exact"/>
      <w:textAlignment w:val="center"/>
    </w:pPr>
    <w:rPr>
      <w:rFonts w:cs="MinionPro-Bold"/>
      <w:b/>
      <w:bCs/>
      <w:color w:val="000000"/>
      <w:sz w:val="38"/>
      <w:szCs w:val="38"/>
      <w:lang w:val="es-ES_tradnl"/>
    </w:rPr>
  </w:style>
  <w:style w:type="paragraph" w:customStyle="1" w:styleId="tx00TextoFondo">
    <w:name w:val="tx_00 (Texto_Fondo)"/>
    <w:uiPriority w:val="99"/>
    <w:rsid w:val="00951E13"/>
    <w:pPr>
      <w:autoSpaceDE w:val="0"/>
      <w:autoSpaceDN w:val="0"/>
      <w:adjustRightInd w:val="0"/>
      <w:spacing w:after="330" w:line="330" w:lineRule="atLeast"/>
      <w:jc w:val="both"/>
      <w:textAlignment w:val="center"/>
    </w:pPr>
    <w:rPr>
      <w:rFonts w:ascii="MinionPro-Regular" w:hAnsi="MinionPro-Regular" w:cs="MinionPro-Regular"/>
      <w:color w:val="000000"/>
      <w:sz w:val="25"/>
      <w:szCs w:val="25"/>
      <w:lang w:val="es-ES_tradnl" w:eastAsia="en-US"/>
    </w:rPr>
  </w:style>
  <w:style w:type="paragraph" w:customStyle="1" w:styleId="tx03TextoFondo">
    <w:name w:val="tx_03 (Texto_Fondo)"/>
    <w:basedOn w:val="Normal"/>
    <w:uiPriority w:val="99"/>
    <w:rsid w:val="00951E13"/>
    <w:pPr>
      <w:tabs>
        <w:tab w:val="right" w:pos="280"/>
        <w:tab w:val="left" w:pos="440"/>
      </w:tabs>
      <w:autoSpaceDE w:val="0"/>
      <w:autoSpaceDN w:val="0"/>
      <w:adjustRightInd w:val="0"/>
      <w:spacing w:after="0" w:line="230" w:lineRule="atLeast"/>
      <w:ind w:left="442" w:hanging="442"/>
      <w:textAlignment w:val="center"/>
    </w:pPr>
    <w:rPr>
      <w:rFonts w:ascii="MinionPro-Regular" w:hAnsi="MinionPro-Regular" w:cs="MinionPro-Regular"/>
      <w:color w:val="000000"/>
      <w:sz w:val="19"/>
      <w:szCs w:val="19"/>
      <w:lang w:val="es-ES_tradnl"/>
    </w:rPr>
  </w:style>
  <w:style w:type="paragraph" w:customStyle="1" w:styleId="tx05TextoFondo">
    <w:name w:val="tx_05 (Texto_Fondo)"/>
    <w:basedOn w:val="tx03TextoFondo"/>
    <w:uiPriority w:val="99"/>
    <w:rsid w:val="00951E13"/>
    <w:pPr>
      <w:spacing w:line="330" w:lineRule="atLeast"/>
      <w:ind w:left="1758" w:firstLine="0"/>
    </w:pPr>
    <w:rPr>
      <w:sz w:val="21"/>
      <w:szCs w:val="21"/>
    </w:rPr>
  </w:style>
  <w:style w:type="paragraph" w:customStyle="1" w:styleId="T2TextoFondo">
    <w:name w:val="T_2 (Texto_Fondo)"/>
    <w:basedOn w:val="Normal"/>
    <w:next w:val="tx00TextoFondo"/>
    <w:autoRedefine/>
    <w:uiPriority w:val="99"/>
    <w:rsid w:val="004602F6"/>
    <w:pPr>
      <w:widowControl w:val="0"/>
      <w:suppressAutoHyphens/>
      <w:autoSpaceDE w:val="0"/>
      <w:autoSpaceDN w:val="0"/>
      <w:adjustRightInd w:val="0"/>
      <w:spacing w:before="660" w:after="0"/>
      <w:textAlignment w:val="center"/>
    </w:pPr>
    <w:rPr>
      <w:rFonts w:cs="MinionPro-Bold"/>
      <w:b/>
      <w:bCs/>
      <w:color w:val="000000"/>
      <w:sz w:val="29"/>
      <w:szCs w:val="29"/>
      <w:lang w:val="es-ES_tradnl"/>
    </w:rPr>
  </w:style>
  <w:style w:type="paragraph" w:customStyle="1" w:styleId="T3TextoFondo">
    <w:name w:val="T_3 (Texto_Fondo)"/>
    <w:basedOn w:val="Normal"/>
    <w:next w:val="tx00TextoFondo"/>
    <w:uiPriority w:val="99"/>
    <w:rsid w:val="00280FF3"/>
    <w:pPr>
      <w:widowControl w:val="0"/>
      <w:suppressAutoHyphens/>
      <w:autoSpaceDE w:val="0"/>
      <w:autoSpaceDN w:val="0"/>
      <w:adjustRightInd w:val="0"/>
      <w:spacing w:before="330" w:after="0" w:line="330" w:lineRule="exact"/>
      <w:textAlignment w:val="center"/>
    </w:pPr>
    <w:rPr>
      <w:rFonts w:ascii="MinionPro-SemiboldIt" w:hAnsi="MinionPro-SemiboldIt" w:cs="MinionPro-SemiboldIt"/>
      <w:iCs/>
      <w:color w:val="000000"/>
      <w:sz w:val="28"/>
      <w:szCs w:val="28"/>
      <w:lang w:val="es-ES_tradnl"/>
    </w:rPr>
  </w:style>
  <w:style w:type="paragraph" w:customStyle="1" w:styleId="tx02TextoFondo">
    <w:name w:val="tx_02 (Texto_Fondo)"/>
    <w:basedOn w:val="Normal"/>
    <w:uiPriority w:val="99"/>
    <w:rsid w:val="00951E13"/>
    <w:pPr>
      <w:autoSpaceDE w:val="0"/>
      <w:autoSpaceDN w:val="0"/>
      <w:adjustRightInd w:val="0"/>
      <w:ind w:left="442" w:right="442"/>
      <w:textAlignment w:val="center"/>
    </w:pPr>
    <w:rPr>
      <w:rFonts w:ascii="MinionPro-Regular" w:hAnsi="MinionPro-Regular" w:cs="MinionPro-Regular"/>
      <w:color w:val="000000"/>
      <w:sz w:val="23"/>
      <w:szCs w:val="23"/>
      <w:lang w:val="es-ES_tradnl"/>
    </w:rPr>
  </w:style>
  <w:style w:type="paragraph" w:customStyle="1" w:styleId="tx01TextoFondo">
    <w:name w:val="tx_01 (Texto_Fondo)"/>
    <w:basedOn w:val="Normal"/>
    <w:uiPriority w:val="99"/>
    <w:rsid w:val="00951E13"/>
    <w:pPr>
      <w:autoSpaceDE w:val="0"/>
      <w:autoSpaceDN w:val="0"/>
      <w:adjustRightInd w:val="0"/>
      <w:spacing w:after="0"/>
      <w:textAlignment w:val="center"/>
    </w:pPr>
    <w:rPr>
      <w:rFonts w:ascii="MinionPro-Regular" w:hAnsi="MinionPro-Regular" w:cs="MinionPro-Regular"/>
      <w:color w:val="000000"/>
      <w:szCs w:val="25"/>
      <w:lang w:val="es-ES_tradnl"/>
    </w:rPr>
  </w:style>
  <w:style w:type="paragraph" w:customStyle="1" w:styleId="tn01Numerales">
    <w:name w:val="tn_01 (Numerales"/>
    <w:aliases w:val="literales,motas)"/>
    <w:basedOn w:val="tx00TextoFondo"/>
    <w:next w:val="tx01TextoFondo"/>
    <w:uiPriority w:val="99"/>
    <w:rsid w:val="001C157F"/>
    <w:pPr>
      <w:numPr>
        <w:numId w:val="5"/>
      </w:numPr>
      <w:spacing w:after="0" w:line="330" w:lineRule="exact"/>
    </w:pPr>
  </w:style>
  <w:style w:type="paragraph" w:customStyle="1" w:styleId="tn02Numerales">
    <w:name w:val="tn_02 (Numerales"/>
    <w:aliases w:val="literales8,motas)8"/>
    <w:basedOn w:val="tx00TextoFondo"/>
    <w:next w:val="tx01TextoFondo"/>
    <w:uiPriority w:val="99"/>
    <w:rsid w:val="001C157F"/>
    <w:pPr>
      <w:numPr>
        <w:numId w:val="7"/>
      </w:numPr>
      <w:spacing w:after="0" w:line="330" w:lineRule="exact"/>
    </w:pPr>
  </w:style>
  <w:style w:type="paragraph" w:customStyle="1" w:styleId="tn03Numerales">
    <w:name w:val="tn_03 (Numerales"/>
    <w:aliases w:val="literales7,motas)7"/>
    <w:basedOn w:val="tx00TextoFondo"/>
    <w:next w:val="tx01TextoFondo"/>
    <w:uiPriority w:val="99"/>
    <w:rsid w:val="001C157F"/>
    <w:pPr>
      <w:numPr>
        <w:numId w:val="4"/>
      </w:numPr>
      <w:spacing w:after="0"/>
    </w:pPr>
  </w:style>
  <w:style w:type="paragraph" w:customStyle="1" w:styleId="tn04Numerales">
    <w:name w:val="tn_04 (Numerales"/>
    <w:aliases w:val="literales6,motas)6"/>
    <w:uiPriority w:val="99"/>
    <w:rsid w:val="001C157F"/>
    <w:pPr>
      <w:numPr>
        <w:numId w:val="3"/>
      </w:numPr>
      <w:tabs>
        <w:tab w:val="left" w:pos="400"/>
      </w:tabs>
    </w:pPr>
    <w:rPr>
      <w:rFonts w:ascii="MinionPro-Regular" w:hAnsi="MinionPro-Regular" w:cs="MinionPro-Regular"/>
      <w:color w:val="000000"/>
      <w:sz w:val="25"/>
      <w:szCs w:val="25"/>
      <w:lang w:val="es-ES_tradnl" w:eastAsia="en-US"/>
    </w:rPr>
  </w:style>
  <w:style w:type="paragraph" w:customStyle="1" w:styleId="tn01ANumerales">
    <w:name w:val="tn_01_A (Numerales"/>
    <w:aliases w:val="literales5,motas)5"/>
    <w:basedOn w:val="tn01Numerales"/>
    <w:next w:val="tx01TextoFondo"/>
    <w:uiPriority w:val="99"/>
    <w:rsid w:val="001C157F"/>
    <w:pPr>
      <w:numPr>
        <w:numId w:val="6"/>
      </w:numPr>
    </w:pPr>
  </w:style>
  <w:style w:type="paragraph" w:customStyle="1" w:styleId="tn01BNumerales">
    <w:name w:val="tn_01_B (Numerales"/>
    <w:aliases w:val="literales4,motas)4"/>
    <w:basedOn w:val="tn01ANumerales"/>
    <w:next w:val="tx01TextoFondo"/>
    <w:uiPriority w:val="99"/>
    <w:rsid w:val="001C157F"/>
    <w:pPr>
      <w:numPr>
        <w:numId w:val="2"/>
      </w:numPr>
    </w:pPr>
  </w:style>
  <w:style w:type="paragraph" w:customStyle="1" w:styleId="tn02ANumerales">
    <w:name w:val="tn_02_A (Numerales"/>
    <w:aliases w:val="literales3,motas)3"/>
    <w:basedOn w:val="tn02Numerales"/>
    <w:next w:val="tx01TextoFondo"/>
    <w:uiPriority w:val="99"/>
    <w:rsid w:val="001C157F"/>
    <w:pPr>
      <w:numPr>
        <w:numId w:val="8"/>
      </w:numPr>
    </w:pPr>
  </w:style>
  <w:style w:type="paragraph" w:customStyle="1" w:styleId="tn02BNumerales">
    <w:name w:val="tn_02_B (Numerales"/>
    <w:aliases w:val="literales2,motas)2"/>
    <w:basedOn w:val="tn02ANumerales"/>
    <w:next w:val="tx01TextoFondo"/>
    <w:uiPriority w:val="99"/>
    <w:rsid w:val="001C157F"/>
    <w:pPr>
      <w:numPr>
        <w:numId w:val="1"/>
      </w:numPr>
      <w:tabs>
        <w:tab w:val="num" w:pos="1588"/>
      </w:tabs>
      <w:ind w:left="1587" w:hanging="340"/>
    </w:pPr>
  </w:style>
  <w:style w:type="paragraph" w:customStyle="1" w:styleId="Tf01Figuras">
    <w:name w:val="Tf_01 (Figuras"/>
    <w:aliases w:val="graficos)"/>
    <w:basedOn w:val="Normal"/>
    <w:uiPriority w:val="99"/>
    <w:rsid w:val="005009BB"/>
    <w:pPr>
      <w:widowControl w:val="0"/>
      <w:suppressAutoHyphens/>
      <w:autoSpaceDE w:val="0"/>
      <w:autoSpaceDN w:val="0"/>
      <w:adjustRightInd w:val="0"/>
      <w:spacing w:after="0" w:line="250" w:lineRule="atLeast"/>
      <w:jc w:val="center"/>
      <w:textAlignment w:val="center"/>
    </w:pPr>
    <w:rPr>
      <w:rFonts w:ascii="MyriadPro-Semibold" w:hAnsi="MyriadPro-Semibold" w:cs="MyriadPro-Semibold"/>
      <w:color w:val="000000"/>
      <w:sz w:val="20"/>
      <w:szCs w:val="20"/>
      <w:lang w:val="es-ES_tradnl"/>
    </w:rPr>
  </w:style>
  <w:style w:type="paragraph" w:customStyle="1" w:styleId="tf06Figuras">
    <w:name w:val="tf_06 (Figuras"/>
    <w:aliases w:val="graficos)3"/>
    <w:basedOn w:val="Normal"/>
    <w:uiPriority w:val="99"/>
    <w:rsid w:val="00F42C85"/>
    <w:pPr>
      <w:widowControl w:val="0"/>
      <w:pBdr>
        <w:top w:val="single" w:sz="2" w:space="4" w:color="auto"/>
      </w:pBdr>
      <w:suppressAutoHyphens/>
      <w:autoSpaceDE w:val="0"/>
      <w:autoSpaceDN w:val="0"/>
      <w:adjustRightInd w:val="0"/>
      <w:spacing w:after="0" w:line="230" w:lineRule="atLeast"/>
      <w:textAlignment w:val="center"/>
    </w:pPr>
    <w:rPr>
      <w:rFonts w:ascii="MinionPro-Regular" w:hAnsi="MinionPro-Regular" w:cs="MinionPro-Regular"/>
      <w:color w:val="000000"/>
      <w:sz w:val="19"/>
      <w:szCs w:val="19"/>
      <w:lang w:val="es-ES_tradnl"/>
    </w:rPr>
  </w:style>
  <w:style w:type="paragraph" w:customStyle="1" w:styleId="tt01Tablas">
    <w:name w:val="tt_01 (Tablas)"/>
    <w:basedOn w:val="Normal"/>
    <w:uiPriority w:val="99"/>
    <w:rsid w:val="005009BB"/>
    <w:pPr>
      <w:widowControl w:val="0"/>
      <w:suppressAutoHyphens/>
      <w:autoSpaceDE w:val="0"/>
      <w:autoSpaceDN w:val="0"/>
      <w:adjustRightInd w:val="0"/>
      <w:spacing w:after="0" w:line="240" w:lineRule="atLeast"/>
      <w:textAlignment w:val="center"/>
    </w:pPr>
    <w:rPr>
      <w:rFonts w:ascii="MyriadPro-Regular" w:hAnsi="MyriadPro-Regular" w:cs="MyriadPro-Regular"/>
      <w:color w:val="000000"/>
      <w:sz w:val="18"/>
      <w:szCs w:val="18"/>
      <w:lang w:val="es-ES_tradnl"/>
    </w:rPr>
  </w:style>
  <w:style w:type="paragraph" w:customStyle="1" w:styleId="Tt01Tablas0">
    <w:name w:val="Tt_01 (Tablas)"/>
    <w:basedOn w:val="Normal"/>
    <w:uiPriority w:val="99"/>
    <w:rsid w:val="005009BB"/>
    <w:pPr>
      <w:widowControl w:val="0"/>
      <w:suppressAutoHyphens/>
      <w:autoSpaceDE w:val="0"/>
      <w:autoSpaceDN w:val="0"/>
      <w:adjustRightInd w:val="0"/>
      <w:spacing w:after="0" w:line="230" w:lineRule="atLeast"/>
      <w:jc w:val="center"/>
      <w:textAlignment w:val="center"/>
    </w:pPr>
    <w:rPr>
      <w:rFonts w:ascii="MyriadPro-Semibold" w:hAnsi="MyriadPro-Semibold" w:cs="MyriadPro-Semibold"/>
      <w:color w:val="000000"/>
      <w:sz w:val="18"/>
      <w:szCs w:val="18"/>
      <w:lang w:val="es-ES_tradnl"/>
    </w:rPr>
  </w:style>
  <w:style w:type="paragraph" w:customStyle="1" w:styleId="tt02Tablas">
    <w:name w:val="tt_02 (Tablas)"/>
    <w:basedOn w:val="tt01Tablas"/>
    <w:next w:val="tt01Tablas"/>
    <w:uiPriority w:val="99"/>
    <w:rsid w:val="001C157F"/>
    <w:pPr>
      <w:numPr>
        <w:numId w:val="10"/>
      </w:numPr>
      <w:spacing w:line="230" w:lineRule="atLeast"/>
    </w:pPr>
  </w:style>
  <w:style w:type="paragraph" w:customStyle="1" w:styleId="tt03Tablas">
    <w:name w:val="tt_03 (Tablas)"/>
    <w:basedOn w:val="tt02Tablas"/>
    <w:next w:val="tt01Tablas"/>
    <w:uiPriority w:val="99"/>
    <w:rsid w:val="001C157F"/>
    <w:pPr>
      <w:numPr>
        <w:numId w:val="9"/>
      </w:numPr>
    </w:pPr>
  </w:style>
  <w:style w:type="paragraph" w:customStyle="1" w:styleId="tt04Tablas">
    <w:name w:val="tt_04 (Tablas)"/>
    <w:basedOn w:val="tt01Tablas"/>
    <w:uiPriority w:val="99"/>
    <w:rsid w:val="00160BC6"/>
    <w:pPr>
      <w:numPr>
        <w:numId w:val="11"/>
      </w:numPr>
      <w:spacing w:line="230" w:lineRule="atLeast"/>
    </w:pPr>
  </w:style>
  <w:style w:type="paragraph" w:customStyle="1" w:styleId="tt05Tablas">
    <w:name w:val="tt_05 (Tablas)"/>
    <w:basedOn w:val="tt01Tablas"/>
    <w:uiPriority w:val="99"/>
    <w:rsid w:val="00B3151C"/>
    <w:pPr>
      <w:numPr>
        <w:numId w:val="12"/>
      </w:numPr>
      <w:spacing w:line="230" w:lineRule="atLeast"/>
    </w:pPr>
  </w:style>
  <w:style w:type="paragraph" w:customStyle="1" w:styleId="tt06Tablas">
    <w:name w:val="tt_06 (Tablas)"/>
    <w:basedOn w:val="tt01Tablas"/>
    <w:uiPriority w:val="99"/>
    <w:rsid w:val="00A65996"/>
    <w:pPr>
      <w:numPr>
        <w:numId w:val="13"/>
      </w:numPr>
      <w:spacing w:line="230" w:lineRule="atLeast"/>
    </w:pPr>
  </w:style>
  <w:style w:type="paragraph" w:customStyle="1" w:styleId="TL1Preliminares">
    <w:name w:val="TL_1 (Preliminares)"/>
    <w:basedOn w:val="Normal"/>
    <w:uiPriority w:val="99"/>
    <w:rsid w:val="00DF0BE2"/>
    <w:pPr>
      <w:widowControl w:val="0"/>
      <w:suppressAutoHyphens/>
      <w:autoSpaceDE w:val="0"/>
      <w:autoSpaceDN w:val="0"/>
      <w:adjustRightInd w:val="0"/>
      <w:spacing w:before="110" w:after="0" w:line="450" w:lineRule="atLeast"/>
      <w:jc w:val="center"/>
      <w:textAlignment w:val="center"/>
    </w:pPr>
    <w:rPr>
      <w:rFonts w:ascii="MyriadPro-Regular" w:hAnsi="MyriadPro-Regular" w:cs="MyriadPro-Regular"/>
      <w:color w:val="000000"/>
      <w:sz w:val="38"/>
      <w:szCs w:val="38"/>
      <w:lang w:val="es-ES_tradnl"/>
    </w:rPr>
  </w:style>
  <w:style w:type="paragraph" w:customStyle="1" w:styleId="TL2Preliminares">
    <w:name w:val="TL_2 (Preliminares)"/>
    <w:basedOn w:val="Normal"/>
    <w:uiPriority w:val="99"/>
    <w:rsid w:val="00DF0BE2"/>
    <w:pPr>
      <w:widowControl w:val="0"/>
      <w:suppressAutoHyphens/>
      <w:autoSpaceDE w:val="0"/>
      <w:autoSpaceDN w:val="0"/>
      <w:adjustRightInd w:val="0"/>
      <w:spacing w:after="0"/>
      <w:jc w:val="center"/>
      <w:textAlignment w:val="center"/>
    </w:pPr>
    <w:rPr>
      <w:rFonts w:ascii="MyriadPro-Regular" w:hAnsi="MyriadPro-Regular" w:cs="MyriadPro-Regular"/>
      <w:color w:val="000000"/>
      <w:lang w:val="es-ES_tradnl"/>
    </w:rPr>
  </w:style>
  <w:style w:type="paragraph" w:customStyle="1" w:styleId="T0TextoFondo">
    <w:name w:val="T_0 (Texto_Fondo)"/>
    <w:basedOn w:val="Normal"/>
    <w:next w:val="tx00TextoFondo"/>
    <w:uiPriority w:val="99"/>
    <w:rsid w:val="00AB1C9E"/>
    <w:pPr>
      <w:widowControl w:val="0"/>
      <w:suppressAutoHyphens/>
      <w:autoSpaceDE w:val="0"/>
      <w:autoSpaceDN w:val="0"/>
      <w:adjustRightInd w:val="0"/>
      <w:spacing w:before="3572" w:after="660" w:line="560" w:lineRule="exact"/>
      <w:jc w:val="center"/>
      <w:textAlignment w:val="center"/>
    </w:pPr>
    <w:rPr>
      <w:rFonts w:ascii="MinionPro-Bold" w:hAnsi="MinionPro-Bold" w:cs="MinionPro-Bold"/>
      <w:bCs/>
      <w:color w:val="000000"/>
      <w:sz w:val="50"/>
      <w:szCs w:val="50"/>
      <w:lang w:val="es-ES_tradnl"/>
    </w:rPr>
  </w:style>
  <w:style w:type="paragraph" w:customStyle="1" w:styleId="Conte02Preliminares">
    <w:name w:val="Conte_02 (Preliminares)"/>
    <w:basedOn w:val="Normal"/>
    <w:uiPriority w:val="99"/>
    <w:rsid w:val="00DF0BE2"/>
    <w:pPr>
      <w:widowControl w:val="0"/>
      <w:tabs>
        <w:tab w:val="right" w:leader="dot" w:pos="7058"/>
      </w:tabs>
      <w:suppressAutoHyphens/>
      <w:autoSpaceDE w:val="0"/>
      <w:autoSpaceDN w:val="0"/>
      <w:adjustRightInd w:val="0"/>
      <w:spacing w:after="0"/>
      <w:ind w:left="425" w:right="1247"/>
      <w:textAlignment w:val="center"/>
    </w:pPr>
    <w:rPr>
      <w:rFonts w:ascii="MinionPro-Semibold" w:hAnsi="MinionPro-Semibold" w:cs="MinionPro-Semibold"/>
      <w:color w:val="000000"/>
      <w:szCs w:val="25"/>
      <w:lang w:val="es-ES_tradnl"/>
    </w:rPr>
  </w:style>
  <w:style w:type="paragraph" w:customStyle="1" w:styleId="Conte01Preliminares">
    <w:name w:val="Conte_01 (Preliminares)"/>
    <w:basedOn w:val="Normal"/>
    <w:uiPriority w:val="99"/>
    <w:rsid w:val="00DF0BE2"/>
    <w:pPr>
      <w:widowControl w:val="0"/>
      <w:tabs>
        <w:tab w:val="right" w:leader="dot" w:pos="7058"/>
      </w:tabs>
      <w:suppressAutoHyphens/>
      <w:autoSpaceDE w:val="0"/>
      <w:autoSpaceDN w:val="0"/>
      <w:adjustRightInd w:val="0"/>
      <w:spacing w:after="0"/>
      <w:ind w:left="425" w:right="1247"/>
      <w:textAlignment w:val="center"/>
    </w:pPr>
    <w:rPr>
      <w:rFonts w:ascii="MinionPro-Regular" w:hAnsi="MinionPro-Regular" w:cs="MinionPro-Regular"/>
      <w:caps/>
      <w:color w:val="000000"/>
      <w:sz w:val="22"/>
      <w:szCs w:val="22"/>
      <w:lang w:val="es-ES_tradnl"/>
    </w:rPr>
  </w:style>
  <w:style w:type="paragraph" w:customStyle="1" w:styleId="Conte03Preliminares">
    <w:name w:val="Conte_03 (Preliminares)"/>
    <w:basedOn w:val="Normal"/>
    <w:uiPriority w:val="99"/>
    <w:rsid w:val="00DF0BE2"/>
    <w:pPr>
      <w:widowControl w:val="0"/>
      <w:tabs>
        <w:tab w:val="right" w:leader="dot" w:pos="7058"/>
      </w:tabs>
      <w:suppressAutoHyphens/>
      <w:autoSpaceDE w:val="0"/>
      <w:autoSpaceDN w:val="0"/>
      <w:adjustRightInd w:val="0"/>
      <w:spacing w:after="0"/>
      <w:ind w:left="1106" w:right="1247" w:hanging="227"/>
      <w:textAlignment w:val="center"/>
    </w:pPr>
    <w:rPr>
      <w:rFonts w:ascii="MinionPro-Regular" w:hAnsi="MinionPro-Regular" w:cs="MinionPro-Regular"/>
      <w:color w:val="000000"/>
      <w:lang w:val="es-ES_tradnl"/>
    </w:rPr>
  </w:style>
  <w:style w:type="paragraph" w:customStyle="1" w:styleId="TFin1Finales">
    <w:name w:val="TFin_1 (Finales)"/>
    <w:basedOn w:val="Normal"/>
    <w:uiPriority w:val="99"/>
    <w:rsid w:val="00DF0BE2"/>
    <w:pPr>
      <w:widowControl w:val="0"/>
      <w:suppressAutoHyphens/>
      <w:autoSpaceDE w:val="0"/>
      <w:autoSpaceDN w:val="0"/>
      <w:adjustRightInd w:val="0"/>
      <w:spacing w:after="0"/>
      <w:jc w:val="center"/>
      <w:textAlignment w:val="center"/>
    </w:pPr>
    <w:rPr>
      <w:rFonts w:ascii="MinionPro-Semibold" w:hAnsi="MinionPro-Semibold" w:cs="MinionPro-Semibold"/>
      <w:caps/>
      <w:color w:val="000000"/>
      <w:sz w:val="26"/>
      <w:szCs w:val="26"/>
      <w:lang w:val="es-ES_tradnl"/>
    </w:rPr>
  </w:style>
  <w:style w:type="paragraph" w:customStyle="1" w:styleId="GlosarioFinales">
    <w:name w:val="Glosario (Finales)"/>
    <w:basedOn w:val="Normal"/>
    <w:uiPriority w:val="99"/>
    <w:rsid w:val="00DF0BE2"/>
    <w:pPr>
      <w:widowControl w:val="0"/>
      <w:tabs>
        <w:tab w:val="center" w:pos="227"/>
        <w:tab w:val="left" w:pos="454"/>
        <w:tab w:val="left" w:pos="2200"/>
      </w:tabs>
      <w:suppressAutoHyphens/>
      <w:autoSpaceDE w:val="0"/>
      <w:autoSpaceDN w:val="0"/>
      <w:adjustRightInd w:val="0"/>
      <w:spacing w:after="0" w:line="241" w:lineRule="atLeast"/>
      <w:ind w:left="2200" w:hanging="2200"/>
      <w:textAlignment w:val="center"/>
    </w:pPr>
    <w:rPr>
      <w:rFonts w:ascii="MinionPro-Regular" w:hAnsi="MinionPro-Regular" w:cs="MinionPro-Regular"/>
      <w:color w:val="000000"/>
      <w:sz w:val="19"/>
      <w:szCs w:val="19"/>
      <w:lang w:val="es-ES_tradnl"/>
    </w:rPr>
  </w:style>
  <w:style w:type="paragraph" w:customStyle="1" w:styleId="BibliografiaFinales">
    <w:name w:val="Bibliografia (Finales)"/>
    <w:basedOn w:val="Normal"/>
    <w:uiPriority w:val="99"/>
    <w:rsid w:val="00DF0BE2"/>
    <w:pPr>
      <w:widowControl w:val="0"/>
      <w:autoSpaceDE w:val="0"/>
      <w:autoSpaceDN w:val="0"/>
      <w:adjustRightInd w:val="0"/>
      <w:spacing w:after="0" w:line="241" w:lineRule="atLeast"/>
      <w:ind w:left="425" w:hanging="425"/>
      <w:textAlignment w:val="center"/>
    </w:pPr>
    <w:rPr>
      <w:rFonts w:ascii="MinionPro-Regular" w:hAnsi="MinionPro-Regular" w:cs="MinionPro-Regular"/>
      <w:color w:val="000000"/>
      <w:sz w:val="19"/>
      <w:szCs w:val="19"/>
      <w:lang w:val="es-ES_tradnl"/>
    </w:rPr>
  </w:style>
  <w:style w:type="paragraph" w:customStyle="1" w:styleId="Legal1Preliminares">
    <w:name w:val="Legal 1 (Preliminares)"/>
    <w:basedOn w:val="Normal"/>
    <w:uiPriority w:val="99"/>
    <w:rsid w:val="007A3A61"/>
    <w:pPr>
      <w:widowControl w:val="0"/>
      <w:suppressAutoHyphens/>
      <w:autoSpaceDE w:val="0"/>
      <w:autoSpaceDN w:val="0"/>
      <w:adjustRightInd w:val="0"/>
      <w:spacing w:after="0" w:line="200" w:lineRule="atLeast"/>
      <w:textAlignment w:val="center"/>
    </w:pPr>
    <w:rPr>
      <w:rFonts w:ascii="MinionPro-Medium" w:hAnsi="MinionPro-Medium" w:cs="MinionPro-Medium"/>
      <w:color w:val="000000"/>
      <w:sz w:val="15"/>
      <w:szCs w:val="15"/>
      <w:lang w:val="es-ES_tradnl"/>
    </w:rPr>
  </w:style>
  <w:style w:type="table" w:styleId="Tablaconcuadrcula">
    <w:name w:val="Table Grid"/>
    <w:basedOn w:val="Tablanormal"/>
    <w:rsid w:val="00D321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iedepgina">
    <w:name w:val="footer"/>
    <w:basedOn w:val="Normal"/>
    <w:link w:val="PiedepginaCar"/>
    <w:uiPriority w:val="99"/>
    <w:rsid w:val="00A25E1B"/>
    <w:pPr>
      <w:tabs>
        <w:tab w:val="center" w:pos="4320"/>
        <w:tab w:val="right" w:pos="8640"/>
      </w:tabs>
    </w:pPr>
  </w:style>
  <w:style w:type="character" w:customStyle="1" w:styleId="PiedepginaCar">
    <w:name w:val="Pie de página Car"/>
    <w:link w:val="Piedepgina"/>
    <w:uiPriority w:val="99"/>
    <w:rsid w:val="00A25E1B"/>
    <w:rPr>
      <w:sz w:val="24"/>
      <w:szCs w:val="24"/>
    </w:rPr>
  </w:style>
  <w:style w:type="character" w:styleId="Nmerodepgina">
    <w:name w:val="page number"/>
    <w:basedOn w:val="Fuentedeprrafopredeter"/>
    <w:rsid w:val="00A25E1B"/>
  </w:style>
  <w:style w:type="paragraph" w:styleId="Textonotapie">
    <w:name w:val="footnote text"/>
    <w:basedOn w:val="Normal"/>
    <w:link w:val="TextonotapieCar"/>
    <w:uiPriority w:val="99"/>
    <w:rsid w:val="00635B26"/>
  </w:style>
  <w:style w:type="character" w:customStyle="1" w:styleId="TextonotapieCar">
    <w:name w:val="Texto nota pie Car"/>
    <w:link w:val="Textonotapie"/>
    <w:uiPriority w:val="99"/>
    <w:rsid w:val="00635B26"/>
    <w:rPr>
      <w:sz w:val="24"/>
      <w:szCs w:val="24"/>
    </w:rPr>
  </w:style>
  <w:style w:type="character" w:styleId="Refdenotaalpie">
    <w:name w:val="footnote reference"/>
    <w:uiPriority w:val="99"/>
    <w:rsid w:val="00635B26"/>
    <w:rPr>
      <w:vertAlign w:val="superscript"/>
    </w:rPr>
  </w:style>
  <w:style w:type="paragraph" w:customStyle="1" w:styleId="tx04TextoFondo">
    <w:name w:val="tx_04 (Texto_Fondo)"/>
    <w:basedOn w:val="Normal"/>
    <w:uiPriority w:val="99"/>
    <w:rsid w:val="00177C91"/>
    <w:pPr>
      <w:widowControl w:val="0"/>
      <w:suppressAutoHyphens/>
      <w:autoSpaceDE w:val="0"/>
      <w:autoSpaceDN w:val="0"/>
      <w:adjustRightInd w:val="0"/>
      <w:spacing w:after="0" w:line="290" w:lineRule="atLeast"/>
      <w:textAlignment w:val="center"/>
    </w:pPr>
    <w:rPr>
      <w:rFonts w:ascii="MyriadPro-Regular" w:hAnsi="MyriadPro-Regular" w:cs="MyriadPro-Regular"/>
      <w:color w:val="000000"/>
      <w:sz w:val="21"/>
      <w:szCs w:val="21"/>
      <w:lang w:val="es-ES_tradnl"/>
    </w:rPr>
  </w:style>
  <w:style w:type="paragraph" w:styleId="Encabezado">
    <w:name w:val="header"/>
    <w:basedOn w:val="Normal"/>
    <w:link w:val="EncabezadoCar"/>
    <w:uiPriority w:val="99"/>
    <w:rsid w:val="00D35C07"/>
    <w:pPr>
      <w:tabs>
        <w:tab w:val="center" w:pos="4320"/>
        <w:tab w:val="right" w:pos="8640"/>
      </w:tabs>
    </w:pPr>
  </w:style>
  <w:style w:type="character" w:customStyle="1" w:styleId="EncabezadoCar">
    <w:name w:val="Encabezado Car"/>
    <w:link w:val="Encabezado"/>
    <w:uiPriority w:val="99"/>
    <w:rsid w:val="00D35C07"/>
    <w:rPr>
      <w:sz w:val="24"/>
      <w:szCs w:val="24"/>
    </w:rPr>
  </w:style>
  <w:style w:type="paragraph" w:customStyle="1" w:styleId="Tf02">
    <w:name w:val="Tf_02"/>
    <w:basedOn w:val="Normal"/>
    <w:rsid w:val="00665476"/>
    <w:pPr>
      <w:widowControl w:val="0"/>
      <w:suppressAutoHyphens/>
      <w:autoSpaceDE w:val="0"/>
      <w:autoSpaceDN w:val="0"/>
      <w:adjustRightInd w:val="0"/>
      <w:spacing w:after="0" w:line="230" w:lineRule="atLeast"/>
      <w:jc w:val="center"/>
      <w:textAlignment w:val="center"/>
    </w:pPr>
    <w:rPr>
      <w:rFonts w:ascii="MyriadPro-Regular" w:hAnsi="MyriadPro-Regular" w:cs="MyriadPro-Regular"/>
      <w:color w:val="000000"/>
      <w:sz w:val="19"/>
      <w:szCs w:val="19"/>
      <w:lang w:val="es-ES_tradnl"/>
    </w:rPr>
  </w:style>
  <w:style w:type="paragraph" w:customStyle="1" w:styleId="TtulodeTDC1">
    <w:name w:val="Título de TDC1"/>
    <w:basedOn w:val="Ttulo1"/>
    <w:next w:val="Normal"/>
    <w:uiPriority w:val="39"/>
    <w:unhideWhenUsed/>
    <w:qFormat/>
    <w:rsid w:val="006B4685"/>
    <w:pPr>
      <w:keepLines/>
      <w:spacing w:before="480" w:after="0" w:line="276" w:lineRule="auto"/>
      <w:outlineLvl w:val="9"/>
    </w:pPr>
    <w:rPr>
      <w:color w:val="365F91"/>
      <w:kern w:val="0"/>
      <w:sz w:val="28"/>
      <w:szCs w:val="28"/>
    </w:rPr>
  </w:style>
  <w:style w:type="paragraph" w:styleId="TDC1">
    <w:name w:val="toc 1"/>
    <w:aliases w:val="Parte"/>
    <w:basedOn w:val="Conte01Preliminares"/>
    <w:next w:val="Normal"/>
    <w:autoRedefine/>
    <w:uiPriority w:val="39"/>
    <w:rsid w:val="000842CA"/>
    <w:pPr>
      <w:widowControl/>
      <w:tabs>
        <w:tab w:val="clear" w:pos="7058"/>
      </w:tabs>
      <w:suppressAutoHyphens w:val="0"/>
      <w:autoSpaceDE/>
      <w:autoSpaceDN/>
      <w:adjustRightInd/>
      <w:spacing w:before="120"/>
      <w:ind w:left="0" w:right="0"/>
      <w:textAlignment w:val="auto"/>
    </w:pPr>
    <w:rPr>
      <w:rFonts w:ascii="Calibri" w:hAnsi="Calibri" w:cs="Times New Roman"/>
      <w:b/>
      <w:bCs/>
      <w:i/>
      <w:iCs/>
      <w:caps w:val="0"/>
      <w:color w:val="auto"/>
      <w:sz w:val="24"/>
      <w:szCs w:val="24"/>
      <w:lang w:val="en-US"/>
    </w:rPr>
  </w:style>
  <w:style w:type="paragraph" w:styleId="TDC2">
    <w:name w:val="toc 2"/>
    <w:aliases w:val="Titulo Parte"/>
    <w:basedOn w:val="Conte02Preliminares"/>
    <w:next w:val="Normal"/>
    <w:autoRedefine/>
    <w:uiPriority w:val="39"/>
    <w:rsid w:val="00E90135"/>
    <w:pPr>
      <w:widowControl/>
      <w:tabs>
        <w:tab w:val="clear" w:pos="7058"/>
        <w:tab w:val="right" w:pos="7191"/>
      </w:tabs>
      <w:suppressAutoHyphens w:val="0"/>
      <w:autoSpaceDE/>
      <w:autoSpaceDN/>
      <w:adjustRightInd/>
      <w:spacing w:before="120"/>
      <w:ind w:left="250" w:right="0"/>
      <w:jc w:val="left"/>
      <w:textAlignment w:val="auto"/>
    </w:pPr>
    <w:rPr>
      <w:rFonts w:ascii="Calibri" w:hAnsi="Calibri" w:cs="Times New Roman"/>
      <w:b/>
      <w:bCs/>
      <w:color w:val="auto"/>
      <w:sz w:val="22"/>
      <w:szCs w:val="22"/>
      <w:lang w:val="en-US"/>
    </w:rPr>
  </w:style>
  <w:style w:type="paragraph" w:styleId="TDC3">
    <w:name w:val="toc 3"/>
    <w:aliases w:val="Titulo Capitulo"/>
    <w:basedOn w:val="Conte02Preliminares"/>
    <w:next w:val="Normal"/>
    <w:autoRedefine/>
    <w:uiPriority w:val="39"/>
    <w:rsid w:val="000842CA"/>
    <w:pPr>
      <w:widowControl/>
      <w:tabs>
        <w:tab w:val="clear" w:pos="7058"/>
      </w:tabs>
      <w:suppressAutoHyphens w:val="0"/>
      <w:autoSpaceDE/>
      <w:autoSpaceDN/>
      <w:adjustRightInd/>
      <w:ind w:left="500" w:right="0"/>
      <w:textAlignment w:val="auto"/>
    </w:pPr>
    <w:rPr>
      <w:rFonts w:ascii="Calibri" w:hAnsi="Calibri" w:cs="Times New Roman"/>
      <w:color w:val="auto"/>
      <w:sz w:val="20"/>
      <w:szCs w:val="20"/>
      <w:lang w:val="en-US"/>
    </w:rPr>
  </w:style>
  <w:style w:type="paragraph" w:styleId="TDC4">
    <w:name w:val="toc 4"/>
    <w:aliases w:val="T2"/>
    <w:basedOn w:val="Conte01Preliminares"/>
    <w:next w:val="Normal"/>
    <w:autoRedefine/>
    <w:uiPriority w:val="39"/>
    <w:rsid w:val="000842CA"/>
    <w:pPr>
      <w:widowControl/>
      <w:tabs>
        <w:tab w:val="clear" w:pos="7058"/>
      </w:tabs>
      <w:suppressAutoHyphens w:val="0"/>
      <w:autoSpaceDE/>
      <w:autoSpaceDN/>
      <w:adjustRightInd/>
      <w:ind w:left="750" w:right="0"/>
      <w:textAlignment w:val="auto"/>
    </w:pPr>
    <w:rPr>
      <w:rFonts w:ascii="Calibri" w:hAnsi="Calibri" w:cs="Times New Roman"/>
      <w:caps w:val="0"/>
      <w:color w:val="auto"/>
      <w:sz w:val="20"/>
      <w:szCs w:val="20"/>
      <w:lang w:val="en-US"/>
    </w:rPr>
  </w:style>
  <w:style w:type="paragraph" w:styleId="TDC5">
    <w:name w:val="toc 5"/>
    <w:aliases w:val="TFin"/>
    <w:basedOn w:val="Conte01Preliminares"/>
    <w:next w:val="Normal"/>
    <w:autoRedefine/>
    <w:rsid w:val="006B4685"/>
    <w:pPr>
      <w:widowControl/>
      <w:tabs>
        <w:tab w:val="clear" w:pos="7058"/>
      </w:tabs>
      <w:suppressAutoHyphens w:val="0"/>
      <w:autoSpaceDE/>
      <w:autoSpaceDN/>
      <w:adjustRightInd/>
      <w:ind w:left="1000" w:right="0"/>
      <w:textAlignment w:val="auto"/>
    </w:pPr>
    <w:rPr>
      <w:rFonts w:ascii="Calibri" w:hAnsi="Calibri" w:cs="Times New Roman"/>
      <w:caps w:val="0"/>
      <w:color w:val="auto"/>
      <w:sz w:val="20"/>
      <w:szCs w:val="20"/>
      <w:lang w:val="en-US"/>
    </w:rPr>
  </w:style>
  <w:style w:type="paragraph" w:styleId="TDC6">
    <w:name w:val="toc 6"/>
    <w:basedOn w:val="Normal"/>
    <w:next w:val="Normal"/>
    <w:autoRedefine/>
    <w:rsid w:val="006B4685"/>
    <w:pPr>
      <w:spacing w:after="0"/>
      <w:ind w:left="1250"/>
    </w:pPr>
    <w:rPr>
      <w:rFonts w:ascii="Calibri" w:hAnsi="Calibri"/>
      <w:sz w:val="20"/>
      <w:szCs w:val="20"/>
    </w:rPr>
  </w:style>
  <w:style w:type="paragraph" w:styleId="TDC7">
    <w:name w:val="toc 7"/>
    <w:basedOn w:val="Normal"/>
    <w:next w:val="Normal"/>
    <w:autoRedefine/>
    <w:rsid w:val="006B4685"/>
    <w:pPr>
      <w:spacing w:after="0"/>
      <w:ind w:left="1500"/>
    </w:pPr>
    <w:rPr>
      <w:rFonts w:ascii="Calibri" w:hAnsi="Calibri"/>
      <w:sz w:val="20"/>
      <w:szCs w:val="20"/>
    </w:rPr>
  </w:style>
  <w:style w:type="paragraph" w:styleId="TDC8">
    <w:name w:val="toc 8"/>
    <w:basedOn w:val="Normal"/>
    <w:next w:val="Normal"/>
    <w:autoRedefine/>
    <w:rsid w:val="006B4685"/>
    <w:pPr>
      <w:spacing w:after="0"/>
      <w:ind w:left="1750"/>
    </w:pPr>
    <w:rPr>
      <w:rFonts w:ascii="Calibri" w:hAnsi="Calibri"/>
      <w:sz w:val="20"/>
      <w:szCs w:val="20"/>
    </w:rPr>
  </w:style>
  <w:style w:type="paragraph" w:styleId="TDC9">
    <w:name w:val="toc 9"/>
    <w:basedOn w:val="Normal"/>
    <w:next w:val="Normal"/>
    <w:autoRedefine/>
    <w:rsid w:val="006B4685"/>
    <w:pPr>
      <w:spacing w:after="0"/>
      <w:ind w:left="2000"/>
    </w:pPr>
    <w:rPr>
      <w:rFonts w:ascii="Calibri" w:hAnsi="Calibri"/>
      <w:sz w:val="20"/>
      <w:szCs w:val="20"/>
    </w:rPr>
  </w:style>
  <w:style w:type="paragraph" w:styleId="Textodeglobo">
    <w:name w:val="Balloon Text"/>
    <w:basedOn w:val="Normal"/>
    <w:link w:val="TextodegloboCar"/>
    <w:rsid w:val="00BE3586"/>
    <w:pPr>
      <w:spacing w:after="0"/>
    </w:pPr>
    <w:rPr>
      <w:rFonts w:ascii="Tahoma" w:hAnsi="Tahoma" w:cs="Tahoma"/>
      <w:sz w:val="16"/>
      <w:szCs w:val="16"/>
    </w:rPr>
  </w:style>
  <w:style w:type="character" w:customStyle="1" w:styleId="TextodegloboCar">
    <w:name w:val="Texto de globo Car"/>
    <w:link w:val="Textodeglobo"/>
    <w:rsid w:val="00BE3586"/>
    <w:rPr>
      <w:rFonts w:ascii="Tahoma" w:hAnsi="Tahoma" w:cs="Tahoma"/>
      <w:sz w:val="16"/>
      <w:szCs w:val="16"/>
      <w:lang w:val="en-US" w:eastAsia="en-US"/>
    </w:rPr>
  </w:style>
  <w:style w:type="character" w:customStyle="1" w:styleId="Textodelmarcadordeposicin">
    <w:name w:val="Placeholder Text"/>
    <w:uiPriority w:val="99"/>
    <w:rsid w:val="00BE3586"/>
    <w:rPr>
      <w:color w:val="808080"/>
    </w:rPr>
  </w:style>
  <w:style w:type="paragraph" w:styleId="Textocomentario">
    <w:name w:val="annotation text"/>
    <w:basedOn w:val="Normal"/>
    <w:link w:val="TextocomentarioCar"/>
    <w:uiPriority w:val="99"/>
    <w:unhideWhenUsed/>
    <w:rsid w:val="000905B2"/>
    <w:pPr>
      <w:overflowPunct w:val="0"/>
      <w:autoSpaceDE w:val="0"/>
      <w:autoSpaceDN w:val="0"/>
      <w:adjustRightInd w:val="0"/>
      <w:spacing w:after="0" w:line="240" w:lineRule="auto"/>
      <w:textAlignment w:val="baseline"/>
    </w:pPr>
    <w:rPr>
      <w:rFonts w:ascii="MS Sans Serif" w:eastAsia="Times New Roman" w:hAnsi="MS Sans Serif"/>
      <w:sz w:val="20"/>
      <w:szCs w:val="20"/>
      <w:lang w:eastAsia="it-IT"/>
    </w:rPr>
  </w:style>
  <w:style w:type="character" w:customStyle="1" w:styleId="TextocomentarioCar">
    <w:name w:val="Texto comentario Car"/>
    <w:link w:val="Textocomentario"/>
    <w:uiPriority w:val="99"/>
    <w:rsid w:val="000905B2"/>
    <w:rPr>
      <w:rFonts w:ascii="MS Sans Serif" w:eastAsia="Times New Roman" w:hAnsi="MS Sans Serif"/>
      <w:lang w:eastAsia="it-IT"/>
    </w:rPr>
  </w:style>
  <w:style w:type="character" w:styleId="Hipervnculo">
    <w:name w:val="Hyperlink"/>
    <w:uiPriority w:val="99"/>
    <w:unhideWhenUsed/>
    <w:rsid w:val="005535FF"/>
    <w:rPr>
      <w:color w:val="0000FF"/>
      <w:u w:val="single"/>
    </w:rPr>
  </w:style>
  <w:style w:type="character" w:styleId="Refdecomentario">
    <w:name w:val="annotation reference"/>
    <w:rsid w:val="00812D4E"/>
    <w:rPr>
      <w:sz w:val="16"/>
      <w:szCs w:val="16"/>
    </w:rPr>
  </w:style>
  <w:style w:type="paragraph" w:styleId="Asuntodelcomentario">
    <w:name w:val="annotation subject"/>
    <w:basedOn w:val="Textocomentario"/>
    <w:next w:val="Textocomentario"/>
    <w:link w:val="AsuntodelcomentarioCar"/>
    <w:rsid w:val="00812D4E"/>
    <w:pPr>
      <w:overflowPunct/>
      <w:autoSpaceDE/>
      <w:autoSpaceDN/>
      <w:adjustRightInd/>
      <w:spacing w:after="330"/>
      <w:textAlignment w:val="auto"/>
    </w:pPr>
    <w:rPr>
      <w:rFonts w:ascii="Minion Pro" w:eastAsia="Cambria" w:hAnsi="Minion Pro"/>
      <w:b/>
      <w:bCs/>
      <w:lang w:eastAsia="en-US"/>
    </w:rPr>
  </w:style>
  <w:style w:type="character" w:customStyle="1" w:styleId="AsuntodelcomentarioCar">
    <w:name w:val="Asunto del comentario Car"/>
    <w:link w:val="Asuntodelcomentario"/>
    <w:rsid w:val="00812D4E"/>
    <w:rPr>
      <w:rFonts w:ascii="Minion Pro" w:eastAsia="Times New Roman" w:hAnsi="Minion Pro"/>
      <w:b/>
      <w:bCs/>
      <w:lang w:val="en-US" w:eastAsia="en-US"/>
    </w:rPr>
  </w:style>
  <w:style w:type="paragraph" w:styleId="Listavistosa-nfasis1">
    <w:name w:val="Colorful List Accent 1"/>
    <w:basedOn w:val="Normal"/>
    <w:uiPriority w:val="34"/>
    <w:qFormat/>
    <w:rsid w:val="00AA1CAF"/>
    <w:pPr>
      <w:ind w:left="720"/>
      <w:contextualSpacing/>
    </w:pPr>
  </w:style>
  <w:style w:type="paragraph" w:styleId="NormalWeb">
    <w:name w:val="Normal (Web)"/>
    <w:basedOn w:val="Normal"/>
    <w:uiPriority w:val="99"/>
    <w:unhideWhenUsed/>
    <w:rsid w:val="00F64AB8"/>
    <w:pPr>
      <w:spacing w:before="100" w:beforeAutospacing="1" w:after="100" w:afterAutospacing="1" w:line="240" w:lineRule="auto"/>
      <w:jc w:val="left"/>
    </w:pPr>
    <w:rPr>
      <w:rFonts w:ascii="Times New Roman" w:eastAsia="Times New Roman" w:hAnsi="Times New Roman"/>
      <w:sz w:val="24"/>
      <w:lang w:val="es-ES" w:eastAsia="es-ES"/>
    </w:rPr>
  </w:style>
  <w:style w:type="paragraph" w:styleId="Sombreadoclaro-nfasis2">
    <w:name w:val="Light Shading Accent 2"/>
    <w:basedOn w:val="Normal"/>
    <w:next w:val="Normal"/>
    <w:link w:val="Sombreadoclaro-nfasis2Car"/>
    <w:qFormat/>
    <w:rsid w:val="00E24C6D"/>
    <w:pPr>
      <w:pBdr>
        <w:bottom w:val="single" w:sz="4" w:space="4" w:color="4F81BD"/>
      </w:pBdr>
      <w:spacing w:before="200" w:after="280"/>
      <w:ind w:left="936" w:right="936"/>
    </w:pPr>
    <w:rPr>
      <w:b/>
      <w:bCs/>
      <w:i/>
      <w:iCs/>
      <w:color w:val="4F81BD"/>
      <w:lang w:val="es-ES"/>
    </w:rPr>
  </w:style>
  <w:style w:type="character" w:customStyle="1" w:styleId="Sombreadoclaro-nfasis2Car">
    <w:name w:val="Sombreado claro - Énfasis 2 Car"/>
    <w:link w:val="Sombreadoclaro-nfasis2"/>
    <w:rsid w:val="00E24C6D"/>
    <w:rPr>
      <w:rFonts w:ascii="Minion Pro" w:hAnsi="Minion Pro"/>
      <w:b/>
      <w:bCs/>
      <w:i/>
      <w:iCs/>
      <w:color w:val="4F81BD"/>
      <w:sz w:val="25"/>
      <w:szCs w:val="24"/>
      <w:lang w:eastAsia="en-US"/>
    </w:rPr>
  </w:style>
  <w:style w:type="character" w:styleId="Hipervnculovisitado">
    <w:name w:val="FollowedHyperlink"/>
    <w:rsid w:val="00E24C6D"/>
    <w:rPr>
      <w:color w:val="800080"/>
      <w:u w:val="single"/>
    </w:rPr>
  </w:style>
  <w:style w:type="character" w:customStyle="1" w:styleId="Ttulodelibro">
    <w:name w:val="Título de libro"/>
    <w:qFormat/>
    <w:rsid w:val="00F967EE"/>
    <w:rPr>
      <w:b/>
      <w:bCs/>
      <w:smallCaps/>
      <w:spacing w:val="5"/>
    </w:rPr>
  </w:style>
</w:styles>
</file>

<file path=word/webSettings.xml><?xml version="1.0" encoding="utf-8"?>
<w:webSettings xmlns:r="http://schemas.openxmlformats.org/officeDocument/2006/relationships" xmlns:w="http://schemas.openxmlformats.org/wordprocessingml/2006/main">
  <w:divs>
    <w:div w:id="135027818">
      <w:bodyDiv w:val="1"/>
      <w:marLeft w:val="0"/>
      <w:marRight w:val="0"/>
      <w:marTop w:val="0"/>
      <w:marBottom w:val="0"/>
      <w:divBdr>
        <w:top w:val="none" w:sz="0" w:space="0" w:color="auto"/>
        <w:left w:val="none" w:sz="0" w:space="0" w:color="auto"/>
        <w:bottom w:val="none" w:sz="0" w:space="0" w:color="auto"/>
        <w:right w:val="none" w:sz="0" w:space="0" w:color="auto"/>
      </w:divBdr>
    </w:div>
    <w:div w:id="674652891">
      <w:bodyDiv w:val="1"/>
      <w:marLeft w:val="0"/>
      <w:marRight w:val="0"/>
      <w:marTop w:val="0"/>
      <w:marBottom w:val="0"/>
      <w:divBdr>
        <w:top w:val="none" w:sz="0" w:space="0" w:color="auto"/>
        <w:left w:val="none" w:sz="0" w:space="0" w:color="auto"/>
        <w:bottom w:val="none" w:sz="0" w:space="0" w:color="auto"/>
        <w:right w:val="none" w:sz="0" w:space="0" w:color="auto"/>
      </w:divBdr>
    </w:div>
    <w:div w:id="687954136">
      <w:bodyDiv w:val="1"/>
      <w:marLeft w:val="0"/>
      <w:marRight w:val="0"/>
      <w:marTop w:val="0"/>
      <w:marBottom w:val="0"/>
      <w:divBdr>
        <w:top w:val="none" w:sz="0" w:space="0" w:color="auto"/>
        <w:left w:val="none" w:sz="0" w:space="0" w:color="auto"/>
        <w:bottom w:val="none" w:sz="0" w:space="0" w:color="auto"/>
        <w:right w:val="none" w:sz="0" w:space="0" w:color="auto"/>
      </w:divBdr>
    </w:div>
    <w:div w:id="827096543">
      <w:bodyDiv w:val="1"/>
      <w:marLeft w:val="0"/>
      <w:marRight w:val="0"/>
      <w:marTop w:val="0"/>
      <w:marBottom w:val="0"/>
      <w:divBdr>
        <w:top w:val="none" w:sz="0" w:space="0" w:color="auto"/>
        <w:left w:val="none" w:sz="0" w:space="0" w:color="auto"/>
        <w:bottom w:val="none" w:sz="0" w:space="0" w:color="auto"/>
        <w:right w:val="none" w:sz="0" w:space="0" w:color="auto"/>
      </w:divBdr>
    </w:div>
    <w:div w:id="846212082">
      <w:bodyDiv w:val="1"/>
      <w:marLeft w:val="0"/>
      <w:marRight w:val="0"/>
      <w:marTop w:val="0"/>
      <w:marBottom w:val="0"/>
      <w:divBdr>
        <w:top w:val="none" w:sz="0" w:space="0" w:color="auto"/>
        <w:left w:val="none" w:sz="0" w:space="0" w:color="auto"/>
        <w:bottom w:val="none" w:sz="0" w:space="0" w:color="auto"/>
        <w:right w:val="none" w:sz="0" w:space="0" w:color="auto"/>
      </w:divBdr>
    </w:div>
    <w:div w:id="909314909">
      <w:bodyDiv w:val="1"/>
      <w:marLeft w:val="0"/>
      <w:marRight w:val="0"/>
      <w:marTop w:val="0"/>
      <w:marBottom w:val="0"/>
      <w:divBdr>
        <w:top w:val="none" w:sz="0" w:space="0" w:color="auto"/>
        <w:left w:val="none" w:sz="0" w:space="0" w:color="auto"/>
        <w:bottom w:val="none" w:sz="0" w:space="0" w:color="auto"/>
        <w:right w:val="none" w:sz="0" w:space="0" w:color="auto"/>
      </w:divBdr>
    </w:div>
    <w:div w:id="915162374">
      <w:bodyDiv w:val="1"/>
      <w:marLeft w:val="0"/>
      <w:marRight w:val="0"/>
      <w:marTop w:val="0"/>
      <w:marBottom w:val="0"/>
      <w:divBdr>
        <w:top w:val="none" w:sz="0" w:space="0" w:color="auto"/>
        <w:left w:val="none" w:sz="0" w:space="0" w:color="auto"/>
        <w:bottom w:val="none" w:sz="0" w:space="0" w:color="auto"/>
        <w:right w:val="none" w:sz="0" w:space="0" w:color="auto"/>
      </w:divBdr>
    </w:div>
    <w:div w:id="954675211">
      <w:bodyDiv w:val="1"/>
      <w:marLeft w:val="0"/>
      <w:marRight w:val="0"/>
      <w:marTop w:val="0"/>
      <w:marBottom w:val="0"/>
      <w:divBdr>
        <w:top w:val="none" w:sz="0" w:space="0" w:color="auto"/>
        <w:left w:val="none" w:sz="0" w:space="0" w:color="auto"/>
        <w:bottom w:val="none" w:sz="0" w:space="0" w:color="auto"/>
        <w:right w:val="none" w:sz="0" w:space="0" w:color="auto"/>
      </w:divBdr>
    </w:div>
    <w:div w:id="981616578">
      <w:bodyDiv w:val="1"/>
      <w:marLeft w:val="0"/>
      <w:marRight w:val="0"/>
      <w:marTop w:val="0"/>
      <w:marBottom w:val="0"/>
      <w:divBdr>
        <w:top w:val="none" w:sz="0" w:space="0" w:color="auto"/>
        <w:left w:val="none" w:sz="0" w:space="0" w:color="auto"/>
        <w:bottom w:val="none" w:sz="0" w:space="0" w:color="auto"/>
        <w:right w:val="none" w:sz="0" w:space="0" w:color="auto"/>
      </w:divBdr>
    </w:div>
    <w:div w:id="1140616622">
      <w:bodyDiv w:val="1"/>
      <w:marLeft w:val="0"/>
      <w:marRight w:val="0"/>
      <w:marTop w:val="0"/>
      <w:marBottom w:val="0"/>
      <w:divBdr>
        <w:top w:val="none" w:sz="0" w:space="0" w:color="auto"/>
        <w:left w:val="none" w:sz="0" w:space="0" w:color="auto"/>
        <w:bottom w:val="none" w:sz="0" w:space="0" w:color="auto"/>
        <w:right w:val="none" w:sz="0" w:space="0" w:color="auto"/>
      </w:divBdr>
    </w:div>
    <w:div w:id="1215772488">
      <w:bodyDiv w:val="1"/>
      <w:marLeft w:val="0"/>
      <w:marRight w:val="0"/>
      <w:marTop w:val="0"/>
      <w:marBottom w:val="0"/>
      <w:divBdr>
        <w:top w:val="none" w:sz="0" w:space="0" w:color="auto"/>
        <w:left w:val="none" w:sz="0" w:space="0" w:color="auto"/>
        <w:bottom w:val="none" w:sz="0" w:space="0" w:color="auto"/>
        <w:right w:val="none" w:sz="0" w:space="0" w:color="auto"/>
      </w:divBdr>
    </w:div>
    <w:div w:id="1275022207">
      <w:bodyDiv w:val="1"/>
      <w:marLeft w:val="0"/>
      <w:marRight w:val="0"/>
      <w:marTop w:val="0"/>
      <w:marBottom w:val="0"/>
      <w:divBdr>
        <w:top w:val="none" w:sz="0" w:space="0" w:color="auto"/>
        <w:left w:val="none" w:sz="0" w:space="0" w:color="auto"/>
        <w:bottom w:val="none" w:sz="0" w:space="0" w:color="auto"/>
        <w:right w:val="none" w:sz="0" w:space="0" w:color="auto"/>
      </w:divBdr>
    </w:div>
    <w:div w:id="1286690940">
      <w:bodyDiv w:val="1"/>
      <w:marLeft w:val="0"/>
      <w:marRight w:val="0"/>
      <w:marTop w:val="0"/>
      <w:marBottom w:val="0"/>
      <w:divBdr>
        <w:top w:val="none" w:sz="0" w:space="0" w:color="auto"/>
        <w:left w:val="none" w:sz="0" w:space="0" w:color="auto"/>
        <w:bottom w:val="none" w:sz="0" w:space="0" w:color="auto"/>
        <w:right w:val="none" w:sz="0" w:space="0" w:color="auto"/>
      </w:divBdr>
    </w:div>
    <w:div w:id="1311208726">
      <w:bodyDiv w:val="1"/>
      <w:marLeft w:val="0"/>
      <w:marRight w:val="0"/>
      <w:marTop w:val="0"/>
      <w:marBottom w:val="0"/>
      <w:divBdr>
        <w:top w:val="none" w:sz="0" w:space="0" w:color="auto"/>
        <w:left w:val="none" w:sz="0" w:space="0" w:color="auto"/>
        <w:bottom w:val="none" w:sz="0" w:space="0" w:color="auto"/>
        <w:right w:val="none" w:sz="0" w:space="0" w:color="auto"/>
      </w:divBdr>
    </w:div>
    <w:div w:id="1347293758">
      <w:bodyDiv w:val="1"/>
      <w:marLeft w:val="0"/>
      <w:marRight w:val="0"/>
      <w:marTop w:val="0"/>
      <w:marBottom w:val="0"/>
      <w:divBdr>
        <w:top w:val="none" w:sz="0" w:space="0" w:color="auto"/>
        <w:left w:val="none" w:sz="0" w:space="0" w:color="auto"/>
        <w:bottom w:val="none" w:sz="0" w:space="0" w:color="auto"/>
        <w:right w:val="none" w:sz="0" w:space="0" w:color="auto"/>
      </w:divBdr>
    </w:div>
    <w:div w:id="1431127240">
      <w:bodyDiv w:val="1"/>
      <w:marLeft w:val="0"/>
      <w:marRight w:val="0"/>
      <w:marTop w:val="0"/>
      <w:marBottom w:val="0"/>
      <w:divBdr>
        <w:top w:val="none" w:sz="0" w:space="0" w:color="auto"/>
        <w:left w:val="none" w:sz="0" w:space="0" w:color="auto"/>
        <w:bottom w:val="none" w:sz="0" w:space="0" w:color="auto"/>
        <w:right w:val="none" w:sz="0" w:space="0" w:color="auto"/>
      </w:divBdr>
    </w:div>
    <w:div w:id="1447502915">
      <w:bodyDiv w:val="1"/>
      <w:marLeft w:val="0"/>
      <w:marRight w:val="0"/>
      <w:marTop w:val="0"/>
      <w:marBottom w:val="0"/>
      <w:divBdr>
        <w:top w:val="none" w:sz="0" w:space="0" w:color="auto"/>
        <w:left w:val="none" w:sz="0" w:space="0" w:color="auto"/>
        <w:bottom w:val="none" w:sz="0" w:space="0" w:color="auto"/>
        <w:right w:val="none" w:sz="0" w:space="0" w:color="auto"/>
      </w:divBdr>
    </w:div>
    <w:div w:id="1623265052">
      <w:bodyDiv w:val="1"/>
      <w:marLeft w:val="0"/>
      <w:marRight w:val="0"/>
      <w:marTop w:val="0"/>
      <w:marBottom w:val="0"/>
      <w:divBdr>
        <w:top w:val="none" w:sz="0" w:space="0" w:color="auto"/>
        <w:left w:val="none" w:sz="0" w:space="0" w:color="auto"/>
        <w:bottom w:val="none" w:sz="0" w:space="0" w:color="auto"/>
        <w:right w:val="none" w:sz="0" w:space="0" w:color="auto"/>
      </w:divBdr>
    </w:div>
    <w:div w:id="1650937871">
      <w:bodyDiv w:val="1"/>
      <w:marLeft w:val="0"/>
      <w:marRight w:val="0"/>
      <w:marTop w:val="0"/>
      <w:marBottom w:val="0"/>
      <w:divBdr>
        <w:top w:val="none" w:sz="0" w:space="0" w:color="auto"/>
        <w:left w:val="none" w:sz="0" w:space="0" w:color="auto"/>
        <w:bottom w:val="none" w:sz="0" w:space="0" w:color="auto"/>
        <w:right w:val="none" w:sz="0" w:space="0" w:color="auto"/>
      </w:divBdr>
    </w:div>
    <w:div w:id="1766606480">
      <w:bodyDiv w:val="1"/>
      <w:marLeft w:val="0"/>
      <w:marRight w:val="0"/>
      <w:marTop w:val="0"/>
      <w:marBottom w:val="0"/>
      <w:divBdr>
        <w:top w:val="none" w:sz="0" w:space="0" w:color="auto"/>
        <w:left w:val="none" w:sz="0" w:space="0" w:color="auto"/>
        <w:bottom w:val="none" w:sz="0" w:space="0" w:color="auto"/>
        <w:right w:val="none" w:sz="0" w:space="0" w:color="auto"/>
      </w:divBdr>
    </w:div>
    <w:div w:id="1795129081">
      <w:bodyDiv w:val="1"/>
      <w:marLeft w:val="0"/>
      <w:marRight w:val="0"/>
      <w:marTop w:val="0"/>
      <w:marBottom w:val="0"/>
      <w:divBdr>
        <w:top w:val="none" w:sz="0" w:space="0" w:color="auto"/>
        <w:left w:val="none" w:sz="0" w:space="0" w:color="auto"/>
        <w:bottom w:val="none" w:sz="0" w:space="0" w:color="auto"/>
        <w:right w:val="none" w:sz="0" w:space="0" w:color="auto"/>
      </w:divBdr>
    </w:div>
    <w:div w:id="1803225453">
      <w:bodyDiv w:val="1"/>
      <w:marLeft w:val="0"/>
      <w:marRight w:val="0"/>
      <w:marTop w:val="0"/>
      <w:marBottom w:val="0"/>
      <w:divBdr>
        <w:top w:val="none" w:sz="0" w:space="0" w:color="auto"/>
        <w:left w:val="none" w:sz="0" w:space="0" w:color="auto"/>
        <w:bottom w:val="none" w:sz="0" w:space="0" w:color="auto"/>
        <w:right w:val="none" w:sz="0" w:space="0" w:color="auto"/>
      </w:divBdr>
    </w:div>
    <w:div w:id="1965502221">
      <w:bodyDiv w:val="1"/>
      <w:marLeft w:val="0"/>
      <w:marRight w:val="0"/>
      <w:marTop w:val="0"/>
      <w:marBottom w:val="0"/>
      <w:divBdr>
        <w:top w:val="none" w:sz="0" w:space="0" w:color="auto"/>
        <w:left w:val="none" w:sz="0" w:space="0" w:color="auto"/>
        <w:bottom w:val="none" w:sz="0" w:space="0" w:color="auto"/>
        <w:right w:val="none" w:sz="0" w:space="0" w:color="auto"/>
      </w:divBdr>
    </w:div>
    <w:div w:id="2007321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datos\Soportes%20de%20edici&#243;n\Biblia%20Dise&#241;o\Docs%20Cerlalc\Templates\Doc_215_275.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4B62D-854C-4002-B6BE-2CFC4C54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Doc_215_275</Template>
  <TotalTime>2</TotalTime>
  <Pages>41</Pages>
  <Words>9682</Words>
  <Characters>53251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cerlalc</Company>
  <LinksUpToDate>false</LinksUpToDate>
  <CharactersWithSpaces>62808</CharactersWithSpaces>
  <SharedDoc>false</SharedDoc>
  <HLinks>
    <vt:vector size="96" baseType="variant">
      <vt:variant>
        <vt:i4>2031622</vt:i4>
      </vt:variant>
      <vt:variant>
        <vt:i4>92</vt:i4>
      </vt:variant>
      <vt:variant>
        <vt:i4>0</vt:i4>
      </vt:variant>
      <vt:variant>
        <vt:i4>5</vt:i4>
      </vt:variant>
      <vt:variant>
        <vt:lpwstr/>
      </vt:variant>
      <vt:variant>
        <vt:lpwstr>_Toc446953667</vt:lpwstr>
      </vt:variant>
      <vt:variant>
        <vt:i4>2031623</vt:i4>
      </vt:variant>
      <vt:variant>
        <vt:i4>86</vt:i4>
      </vt:variant>
      <vt:variant>
        <vt:i4>0</vt:i4>
      </vt:variant>
      <vt:variant>
        <vt:i4>5</vt:i4>
      </vt:variant>
      <vt:variant>
        <vt:lpwstr/>
      </vt:variant>
      <vt:variant>
        <vt:lpwstr>_Toc446953666</vt:lpwstr>
      </vt:variant>
      <vt:variant>
        <vt:i4>2031618</vt:i4>
      </vt:variant>
      <vt:variant>
        <vt:i4>80</vt:i4>
      </vt:variant>
      <vt:variant>
        <vt:i4>0</vt:i4>
      </vt:variant>
      <vt:variant>
        <vt:i4>5</vt:i4>
      </vt:variant>
      <vt:variant>
        <vt:lpwstr/>
      </vt:variant>
      <vt:variant>
        <vt:lpwstr>_Toc446953663</vt:lpwstr>
      </vt:variant>
      <vt:variant>
        <vt:i4>2031617</vt:i4>
      </vt:variant>
      <vt:variant>
        <vt:i4>74</vt:i4>
      </vt:variant>
      <vt:variant>
        <vt:i4>0</vt:i4>
      </vt:variant>
      <vt:variant>
        <vt:i4>5</vt:i4>
      </vt:variant>
      <vt:variant>
        <vt:lpwstr/>
      </vt:variant>
      <vt:variant>
        <vt:lpwstr>_Toc446953660</vt:lpwstr>
      </vt:variant>
      <vt:variant>
        <vt:i4>1835016</vt:i4>
      </vt:variant>
      <vt:variant>
        <vt:i4>68</vt:i4>
      </vt:variant>
      <vt:variant>
        <vt:i4>0</vt:i4>
      </vt:variant>
      <vt:variant>
        <vt:i4>5</vt:i4>
      </vt:variant>
      <vt:variant>
        <vt:lpwstr/>
      </vt:variant>
      <vt:variant>
        <vt:lpwstr>_Toc446953659</vt:lpwstr>
      </vt:variant>
      <vt:variant>
        <vt:i4>1835017</vt:i4>
      </vt:variant>
      <vt:variant>
        <vt:i4>62</vt:i4>
      </vt:variant>
      <vt:variant>
        <vt:i4>0</vt:i4>
      </vt:variant>
      <vt:variant>
        <vt:i4>5</vt:i4>
      </vt:variant>
      <vt:variant>
        <vt:lpwstr/>
      </vt:variant>
      <vt:variant>
        <vt:lpwstr>_Toc446953658</vt:lpwstr>
      </vt:variant>
      <vt:variant>
        <vt:i4>1835014</vt:i4>
      </vt:variant>
      <vt:variant>
        <vt:i4>56</vt:i4>
      </vt:variant>
      <vt:variant>
        <vt:i4>0</vt:i4>
      </vt:variant>
      <vt:variant>
        <vt:i4>5</vt:i4>
      </vt:variant>
      <vt:variant>
        <vt:lpwstr/>
      </vt:variant>
      <vt:variant>
        <vt:lpwstr>_Toc446953657</vt:lpwstr>
      </vt:variant>
      <vt:variant>
        <vt:i4>1835015</vt:i4>
      </vt:variant>
      <vt:variant>
        <vt:i4>50</vt:i4>
      </vt:variant>
      <vt:variant>
        <vt:i4>0</vt:i4>
      </vt:variant>
      <vt:variant>
        <vt:i4>5</vt:i4>
      </vt:variant>
      <vt:variant>
        <vt:lpwstr/>
      </vt:variant>
      <vt:variant>
        <vt:lpwstr>_Toc446953656</vt:lpwstr>
      </vt:variant>
      <vt:variant>
        <vt:i4>1835012</vt:i4>
      </vt:variant>
      <vt:variant>
        <vt:i4>44</vt:i4>
      </vt:variant>
      <vt:variant>
        <vt:i4>0</vt:i4>
      </vt:variant>
      <vt:variant>
        <vt:i4>5</vt:i4>
      </vt:variant>
      <vt:variant>
        <vt:lpwstr/>
      </vt:variant>
      <vt:variant>
        <vt:lpwstr>_Toc446953655</vt:lpwstr>
      </vt:variant>
      <vt:variant>
        <vt:i4>1835013</vt:i4>
      </vt:variant>
      <vt:variant>
        <vt:i4>38</vt:i4>
      </vt:variant>
      <vt:variant>
        <vt:i4>0</vt:i4>
      </vt:variant>
      <vt:variant>
        <vt:i4>5</vt:i4>
      </vt:variant>
      <vt:variant>
        <vt:lpwstr/>
      </vt:variant>
      <vt:variant>
        <vt:lpwstr>_Toc446953654</vt:lpwstr>
      </vt:variant>
      <vt:variant>
        <vt:i4>1835010</vt:i4>
      </vt:variant>
      <vt:variant>
        <vt:i4>32</vt:i4>
      </vt:variant>
      <vt:variant>
        <vt:i4>0</vt:i4>
      </vt:variant>
      <vt:variant>
        <vt:i4>5</vt:i4>
      </vt:variant>
      <vt:variant>
        <vt:lpwstr/>
      </vt:variant>
      <vt:variant>
        <vt:lpwstr>_Toc446953653</vt:lpwstr>
      </vt:variant>
      <vt:variant>
        <vt:i4>1900552</vt:i4>
      </vt:variant>
      <vt:variant>
        <vt:i4>26</vt:i4>
      </vt:variant>
      <vt:variant>
        <vt:i4>0</vt:i4>
      </vt:variant>
      <vt:variant>
        <vt:i4>5</vt:i4>
      </vt:variant>
      <vt:variant>
        <vt:lpwstr/>
      </vt:variant>
      <vt:variant>
        <vt:lpwstr>_Toc446953649</vt:lpwstr>
      </vt:variant>
      <vt:variant>
        <vt:i4>1900545</vt:i4>
      </vt:variant>
      <vt:variant>
        <vt:i4>20</vt:i4>
      </vt:variant>
      <vt:variant>
        <vt:i4>0</vt:i4>
      </vt:variant>
      <vt:variant>
        <vt:i4>5</vt:i4>
      </vt:variant>
      <vt:variant>
        <vt:lpwstr/>
      </vt:variant>
      <vt:variant>
        <vt:lpwstr>_Toc446953640</vt:lpwstr>
      </vt:variant>
      <vt:variant>
        <vt:i4>1703944</vt:i4>
      </vt:variant>
      <vt:variant>
        <vt:i4>14</vt:i4>
      </vt:variant>
      <vt:variant>
        <vt:i4>0</vt:i4>
      </vt:variant>
      <vt:variant>
        <vt:i4>5</vt:i4>
      </vt:variant>
      <vt:variant>
        <vt:lpwstr/>
      </vt:variant>
      <vt:variant>
        <vt:lpwstr>_Toc446953639</vt:lpwstr>
      </vt:variant>
      <vt:variant>
        <vt:i4>1703945</vt:i4>
      </vt:variant>
      <vt:variant>
        <vt:i4>8</vt:i4>
      </vt:variant>
      <vt:variant>
        <vt:i4>0</vt:i4>
      </vt:variant>
      <vt:variant>
        <vt:i4>5</vt:i4>
      </vt:variant>
      <vt:variant>
        <vt:lpwstr/>
      </vt:variant>
      <vt:variant>
        <vt:lpwstr>_Toc446953638</vt:lpwstr>
      </vt:variant>
      <vt:variant>
        <vt:i4>1703942</vt:i4>
      </vt:variant>
      <vt:variant>
        <vt:i4>2</vt:i4>
      </vt:variant>
      <vt:variant>
        <vt:i4>0</vt:i4>
      </vt:variant>
      <vt:variant>
        <vt:i4>5</vt:i4>
      </vt:variant>
      <vt:variant>
        <vt:lpwstr/>
      </vt:variant>
      <vt:variant>
        <vt:lpwstr>_Toc446953637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jpmojica</dc:creator>
  <cp:lastModifiedBy>psanchez</cp:lastModifiedBy>
  <cp:revision>2</cp:revision>
  <cp:lastPrinted>2016-03-28T23:40:00Z</cp:lastPrinted>
  <dcterms:created xsi:type="dcterms:W3CDTF">2016-11-09T22:52:00Z</dcterms:created>
  <dcterms:modified xsi:type="dcterms:W3CDTF">2016-11-09T22:52:00Z</dcterms:modified>
</cp:coreProperties>
</file>